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A4650F" w:rsidRPr="00D25131" w:rsidRDefault="0055344E" w:rsidP="00D25131">
      <w:pPr>
        <w:jc w:val="center"/>
        <w:rPr>
          <w:rFonts w:ascii="Calibri" w:hAnsi="Calibri" w:cs="Calibri"/>
          <w:b/>
          <w:sz w:val="40"/>
          <w:szCs w:val="40"/>
        </w:rPr>
      </w:pPr>
      <w:r w:rsidRPr="0055344E">
        <w:rPr>
          <w:rFonts w:ascii="Calibri" w:hAnsi="Calibri" w:cs="Calibri"/>
          <w:b/>
          <w:sz w:val="40"/>
          <w:szCs w:val="40"/>
        </w:rPr>
        <w:t>z elementami psychologii rozwoju osobistego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5344E" w:rsidP="00F12D12">
                            <w:pPr>
                              <w:jc w:val="center"/>
                            </w:pPr>
                            <w:r w:rsidRPr="0055344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Kompendium wiedzy i umiejętności nauczyciela edukacji wczesnoszkolnej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55344E" w:rsidP="00F12D12">
                      <w:pPr>
                        <w:jc w:val="center"/>
                      </w:pPr>
                      <w:r w:rsidRPr="0055344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Kompendium wiedzy i umiejętności nauczyciela edukacji wczesnoszkolnej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6337F">
        <w:rPr>
          <w:rFonts w:asciiTheme="minorHAnsi" w:hAnsiTheme="minorHAnsi" w:cs="Calibri"/>
          <w:b/>
        </w:rPr>
        <w:t>0</w:t>
      </w:r>
      <w:r w:rsidR="0055344E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55344E">
        <w:rPr>
          <w:rFonts w:asciiTheme="minorHAnsi" w:hAnsiTheme="minorHAnsi" w:cs="Calibri"/>
          <w:b/>
        </w:rPr>
        <w:t xml:space="preserve"> edukacji wczesnoszkolnej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5344E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5344E" w:rsidRPr="0055344E">
        <w:rPr>
          <w:rFonts w:asciiTheme="minorHAnsi" w:hAnsiTheme="minorHAnsi" w:cs="Calibri"/>
        </w:rPr>
        <w:t>Wyposażenie uczestników szkol</w:t>
      </w:r>
      <w:r w:rsidR="0055344E">
        <w:rPr>
          <w:rFonts w:asciiTheme="minorHAnsi" w:hAnsiTheme="minorHAnsi" w:cs="Calibri"/>
        </w:rPr>
        <w:t>enia w wiedzę i umiejętności, które gwarantują satysfakcję z </w:t>
      </w:r>
      <w:r w:rsidR="0055344E" w:rsidRPr="0055344E">
        <w:rPr>
          <w:rFonts w:asciiTheme="minorHAnsi" w:hAnsiTheme="minorHAnsi" w:cs="Calibri"/>
        </w:rPr>
        <w:t>wykonywanej pracy w edukacji wczesnoszkolnej i podniesienie jakości pracy placówki macierzystej.</w:t>
      </w: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6337F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55344E" w:rsidRPr="0055344E" w:rsidRDefault="0055344E" w:rsidP="0055344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55344E">
        <w:rPr>
          <w:rFonts w:asciiTheme="minorHAnsi" w:hAnsiTheme="minorHAnsi"/>
          <w:bCs/>
        </w:rPr>
        <w:t xml:space="preserve">Uczestnik: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Potrafi, wykorzystując różnorodne narzędzia,  prawidłowo przeprow</w:t>
      </w:r>
      <w:r w:rsidR="00A21A2D">
        <w:rPr>
          <w:bCs/>
        </w:rPr>
        <w:t xml:space="preserve">adzić wstępną diagnozę ucznia </w:t>
      </w:r>
      <w:r w:rsidRPr="0055344E">
        <w:rPr>
          <w:bCs/>
        </w:rPr>
        <w:t>klasy pierwszej.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program nauczania edukacji wczesnoszkolnej i potrafi go  dostosować do potrzeb i warunków swojej grupy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teorię inteligencji wielorakich i jej praktyczne zastosowanie. Potrafi prawidłowo określić typ inteligencji dziecka.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rolę nauczyciel</w:t>
      </w:r>
      <w:r w:rsidR="00A21A2D">
        <w:rPr>
          <w:bCs/>
        </w:rPr>
        <w:t>a</w:t>
      </w:r>
      <w:r w:rsidRPr="0055344E">
        <w:rPr>
          <w:bCs/>
        </w:rPr>
        <w:t xml:space="preserve"> w rozwijaniu inteligencji wielorakich dzieci.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Identyfikuje trudności w uczeniu się, deficyty uwagi oraz specjalne potrzeby edukacyjne swoich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przekaz treści Piramidy Maslowa, Piramidy Logana oraz Efektu Krugera-</w:t>
      </w:r>
      <w:proofErr w:type="spellStart"/>
      <w:r w:rsidRPr="0055344E">
        <w:rPr>
          <w:bCs/>
        </w:rPr>
        <w:t>Dunninga</w:t>
      </w:r>
      <w:proofErr w:type="spellEnd"/>
      <w:r w:rsidRPr="0055344E">
        <w:rPr>
          <w:bCs/>
        </w:rPr>
        <w:t>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podstawowe style komunikacji.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prawidłowo wykorzystać swój osobisty potencjał.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przygotować ucznia do świadomego uczestnictwa  w kulturze i obcowania z literaturą.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zasady tworzenia autorskich programów.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Ma potrzebę rozwijać u uczniów wyobraźnię, wra</w:t>
      </w:r>
      <w:r>
        <w:rPr>
          <w:bCs/>
        </w:rPr>
        <w:t xml:space="preserve">żliwość </w:t>
      </w:r>
      <w:r w:rsidRPr="0055344E">
        <w:rPr>
          <w:bCs/>
        </w:rPr>
        <w:t xml:space="preserve"> i inwencję twórczą.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różne sposoby oceniania ucznia oraz  zasady oceniania kształtującego.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Podnosi swoje kwalifikacje w celu podniesienia jakości kształcenia.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 Umie motywować siebie oraz uczniów do pracy.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Umacnia poczucie własnej wartości.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Poznaje szereg zabaw</w:t>
      </w:r>
      <w:r>
        <w:rPr>
          <w:bCs/>
        </w:rPr>
        <w:t xml:space="preserve"> wyciszających, aktywizujących </w:t>
      </w:r>
      <w:r w:rsidRPr="0055344E">
        <w:rPr>
          <w:bCs/>
        </w:rPr>
        <w:t>i motywujących.</w:t>
      </w:r>
    </w:p>
    <w:p w:rsidR="009F6E8D" w:rsidRDefault="00F65E81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 I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9E1F89"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23.03.2020 </w:t>
      </w:r>
      <w:r w:rsidR="00462337">
        <w:rPr>
          <w:rFonts w:asciiTheme="minorHAnsi" w:hAnsiTheme="minorHAnsi" w:cs="Calibri"/>
          <w:b/>
        </w:rPr>
        <w:t xml:space="preserve">r.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C60323">
        <w:rPr>
          <w:rFonts w:asciiTheme="minorHAnsi" w:hAnsiTheme="minorHAnsi" w:cs="Calibri"/>
          <w:b/>
        </w:rPr>
        <w:t>14:30 – 6 godz. dydaktycznych</w:t>
      </w:r>
    </w:p>
    <w:p w:rsidR="0025472E" w:rsidRPr="009F6E8D" w:rsidRDefault="0025472E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</w:t>
      </w:r>
      <w:bookmarkStart w:id="13" w:name="_GoBack"/>
      <w:bookmarkEnd w:id="13"/>
      <w:r>
        <w:rPr>
          <w:rFonts w:asciiTheme="minorHAnsi" w:hAnsiTheme="minorHAnsi" w:cs="Calibri"/>
          <w:b/>
        </w:rPr>
        <w:t>Pozostałe terminy do uzgodnienia z grupą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 w:rsidR="00F65E81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 całego kursu</w:t>
      </w:r>
      <w:r w:rsidR="00F65E81" w:rsidRPr="00F65E81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5344E">
        <w:rPr>
          <w:rFonts w:ascii="Calibri" w:hAnsi="Calibri" w:cs="Calibri"/>
          <w:bCs/>
        </w:rPr>
        <w:t>32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  <w:r w:rsidR="00C60323">
        <w:rPr>
          <w:rFonts w:ascii="Calibri" w:hAnsi="Calibri" w:cs="Calibri"/>
          <w:bCs/>
        </w:rPr>
        <w:t xml:space="preserve"> </w:t>
      </w:r>
    </w:p>
    <w:p w:rsidR="00291D43" w:rsidRPr="006A6027" w:rsidRDefault="00291D43" w:rsidP="001B1B4F">
      <w:pPr>
        <w:rPr>
          <w:rStyle w:val="Pogrubienie"/>
          <w:b w:val="0"/>
          <w:sz w:val="20"/>
          <w:szCs w:val="20"/>
        </w:rPr>
      </w:pPr>
    </w:p>
    <w:p w:rsidR="0055344E" w:rsidRPr="006A6027" w:rsidRDefault="0055344E" w:rsidP="0055344E">
      <w:pPr>
        <w:spacing w:after="240"/>
        <w:ind w:left="360" w:hanging="3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lastRenderedPageBreak/>
        <w:t>v</w:t>
      </w:r>
      <w:r w:rsidRPr="00FB4665">
        <w:rPr>
          <w:rFonts w:ascii="Calibri" w:hAnsi="Calibri" w:cs="Calibri"/>
          <w:i/>
        </w:rPr>
        <w:t>erte</w:t>
      </w:r>
    </w:p>
    <w:p w:rsidR="0055344E" w:rsidRDefault="0055344E" w:rsidP="002876DC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F65E81" w:rsidRDefault="00F65E81" w:rsidP="002876DC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0310FC" w:rsidRDefault="00291D43" w:rsidP="002876DC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B2372" w:rsidRPr="008B2372">
        <w:rPr>
          <w:rFonts w:asciiTheme="minorHAnsi" w:hAnsiTheme="minorHAnsi"/>
          <w:b/>
          <w:bCs/>
        </w:rPr>
        <w:t xml:space="preserve">Urszula </w:t>
      </w:r>
      <w:proofErr w:type="spellStart"/>
      <w:r w:rsidR="008B2372" w:rsidRPr="008B2372">
        <w:rPr>
          <w:rFonts w:asciiTheme="minorHAnsi" w:hAnsiTheme="minorHAnsi"/>
          <w:b/>
          <w:bCs/>
        </w:rPr>
        <w:t>Ewertowska</w:t>
      </w:r>
      <w:proofErr w:type="spellEnd"/>
      <w:r w:rsidR="008B2372" w:rsidRPr="008B2372">
        <w:rPr>
          <w:rFonts w:asciiTheme="minorHAnsi" w:hAnsiTheme="minorHAnsi"/>
          <w:b/>
          <w:bCs/>
        </w:rPr>
        <w:t xml:space="preserve"> </w:t>
      </w:r>
      <w:r w:rsidR="008B2372" w:rsidRPr="008B2372">
        <w:rPr>
          <w:rFonts w:asciiTheme="minorHAnsi" w:hAnsiTheme="minorHAnsi"/>
          <w:bCs/>
        </w:rPr>
        <w:t>– konsultant ds. ed</w:t>
      </w:r>
      <w:r w:rsidR="008B2372">
        <w:rPr>
          <w:rFonts w:asciiTheme="minorHAnsi" w:hAnsiTheme="minorHAnsi"/>
          <w:bCs/>
        </w:rPr>
        <w:t xml:space="preserve">ukacji wczesnoszkolnej w </w:t>
      </w:r>
      <w:proofErr w:type="spellStart"/>
      <w:r w:rsidR="008B2372">
        <w:rPr>
          <w:rFonts w:asciiTheme="minorHAnsi" w:hAnsiTheme="minorHAnsi"/>
          <w:bCs/>
        </w:rPr>
        <w:t>PCEiK</w:t>
      </w:r>
      <w:proofErr w:type="spellEnd"/>
      <w:r w:rsidR="008B2372" w:rsidRPr="008B2372">
        <w:rPr>
          <w:rFonts w:asciiTheme="minorHAnsi" w:hAnsiTheme="minorHAnsi"/>
          <w:bCs/>
        </w:rPr>
        <w:t xml:space="preserve"> </w:t>
      </w:r>
      <w:r w:rsidR="008B2372">
        <w:rPr>
          <w:rFonts w:asciiTheme="minorHAnsi" w:hAnsiTheme="minorHAnsi"/>
          <w:bCs/>
        </w:rPr>
        <w:t>w Oleśnicy. Pedagog twórczości.</w:t>
      </w:r>
      <w:r w:rsidR="008B2372" w:rsidRPr="008B2372">
        <w:rPr>
          <w:rFonts w:asciiTheme="minorHAnsi" w:hAnsiTheme="minorHAnsi"/>
          <w:bCs/>
        </w:rPr>
        <w:t xml:space="preserve"> Praktykujący nauczyciel edukacji wczesnoszko</w:t>
      </w:r>
      <w:r w:rsidR="008B2372">
        <w:rPr>
          <w:rFonts w:asciiTheme="minorHAnsi" w:hAnsiTheme="minorHAnsi"/>
          <w:bCs/>
        </w:rPr>
        <w:t>lnej z 3</w:t>
      </w:r>
      <w:r w:rsidR="0076337F">
        <w:rPr>
          <w:rFonts w:asciiTheme="minorHAnsi" w:hAnsiTheme="minorHAnsi"/>
          <w:bCs/>
        </w:rPr>
        <w:t>4</w:t>
      </w:r>
      <w:r w:rsidR="008B2372">
        <w:rPr>
          <w:rFonts w:asciiTheme="minorHAnsi" w:hAnsiTheme="minorHAnsi"/>
          <w:bCs/>
        </w:rPr>
        <w:t xml:space="preserve">-letnim stażem pracy. </w:t>
      </w:r>
      <w:r w:rsidR="008B2372" w:rsidRPr="008B2372">
        <w:rPr>
          <w:rFonts w:asciiTheme="minorHAnsi" w:hAnsiTheme="minorHAnsi"/>
          <w:bCs/>
        </w:rPr>
        <w:t xml:space="preserve">Lider Wewnątrzszkolnego Doskonalenia Nauczycieli. Szkolny Organizator Rozwoju Edukacji. Certyfikowany </w:t>
      </w:r>
      <w:proofErr w:type="spellStart"/>
      <w:r w:rsidR="008B2372" w:rsidRPr="008B2372">
        <w:rPr>
          <w:rFonts w:asciiTheme="minorHAnsi" w:hAnsiTheme="minorHAnsi"/>
          <w:bCs/>
        </w:rPr>
        <w:t>coach</w:t>
      </w:r>
      <w:proofErr w:type="spellEnd"/>
      <w:r w:rsidR="008B2372" w:rsidRPr="008B2372">
        <w:rPr>
          <w:rFonts w:asciiTheme="minorHAnsi" w:hAnsiTheme="minorHAnsi"/>
          <w:bCs/>
        </w:rPr>
        <w:t xml:space="preserve"> pomagający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55344E" w:rsidRPr="00F24DF3" w:rsidRDefault="0055344E" w:rsidP="002876DC">
      <w:pPr>
        <w:jc w:val="both"/>
        <w:rPr>
          <w:rStyle w:val="Pogrubienie"/>
          <w:rFonts w:asciiTheme="minorHAnsi" w:hAnsiTheme="minorHAnsi"/>
          <w:szCs w:val="26"/>
        </w:rPr>
      </w:pP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65E81">
        <w:rPr>
          <w:rFonts w:ascii="Calibri" w:hAnsi="Calibri" w:cs="Calibri"/>
          <w:b/>
          <w:bCs/>
          <w:color w:val="C00000"/>
        </w:rPr>
        <w:t>18.03.2020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5344E" w:rsidRPr="00BA71C0" w:rsidRDefault="005534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F6021">
        <w:rPr>
          <w:rFonts w:ascii="Calibri" w:hAnsi="Calibri" w:cs="Calibri"/>
          <w:b/>
        </w:rPr>
        <w:t>200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F6021">
        <w:rPr>
          <w:rFonts w:ascii="Calibri" w:hAnsi="Calibri" w:cs="Calibri"/>
          <w:b/>
        </w:rPr>
        <w:t>4</w:t>
      </w:r>
      <w:r w:rsidR="00FB4665" w:rsidRPr="006A6027">
        <w:rPr>
          <w:rFonts w:ascii="Calibri" w:hAnsi="Calibri" w:cs="Calibri"/>
          <w:b/>
        </w:rPr>
        <w:t>00</w:t>
      </w:r>
      <w:r w:rsidRPr="006A6027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9D" w:rsidRDefault="009D369D" w:rsidP="0074050A">
      <w:r>
        <w:separator/>
      </w:r>
    </w:p>
  </w:endnote>
  <w:endnote w:type="continuationSeparator" w:id="0">
    <w:p w:rsidR="009D369D" w:rsidRDefault="009D369D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9D" w:rsidRDefault="009D369D" w:rsidP="0074050A">
      <w:r>
        <w:separator/>
      </w:r>
    </w:p>
  </w:footnote>
  <w:footnote w:type="continuationSeparator" w:id="0">
    <w:p w:rsidR="009D369D" w:rsidRDefault="009D369D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5472E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07DBD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F7D7E"/>
    <w:rsid w:val="00D03533"/>
    <w:rsid w:val="00D11656"/>
    <w:rsid w:val="00D1461D"/>
    <w:rsid w:val="00D25131"/>
    <w:rsid w:val="00D25B2B"/>
    <w:rsid w:val="00D25D65"/>
    <w:rsid w:val="00D34F07"/>
    <w:rsid w:val="00D4174C"/>
    <w:rsid w:val="00D5338B"/>
    <w:rsid w:val="00D53DFE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4406-B7A8-469E-8831-4A21D85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2018-03-07T14:16:00Z</cp:lastPrinted>
  <dcterms:created xsi:type="dcterms:W3CDTF">2020-01-29T11:38:00Z</dcterms:created>
  <dcterms:modified xsi:type="dcterms:W3CDTF">2020-01-31T12:27:00Z</dcterms:modified>
</cp:coreProperties>
</file>