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E9094A">
        <w:rPr>
          <w:rFonts w:ascii="Calibri" w:hAnsi="Calibri" w:cs="Calibri"/>
          <w:b/>
          <w:sz w:val="40"/>
          <w:szCs w:val="40"/>
        </w:rPr>
        <w:t>NA SZKOLENIE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Default="00E9094A" w:rsidP="00E9094A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SYSTEM INFORMACJI OŚWIATOWEJ</w:t>
                            </w:r>
                          </w:p>
                          <w:p w:rsidR="00E9094A" w:rsidRDefault="002863F7" w:rsidP="00E9094A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wprowadza</w:t>
                            </w:r>
                            <w:r w:rsidR="00E9094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ć dane do systemu </w:t>
                            </w:r>
                          </w:p>
                          <w:p w:rsidR="00E9094A" w:rsidRPr="00F0548E" w:rsidRDefault="00E9094A" w:rsidP="00E9094A">
                            <w:pP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Default="00E9094A" w:rsidP="00E9094A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SYSTEM INFORMACJI OŚWIATOWEJ</w:t>
                      </w:r>
                    </w:p>
                    <w:p w:rsidR="00E9094A" w:rsidRDefault="002863F7" w:rsidP="00E9094A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wprowadza</w:t>
                      </w:r>
                      <w:r w:rsidR="00E9094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ć dane do systemu </w:t>
                      </w:r>
                    </w:p>
                    <w:p w:rsidR="00E9094A" w:rsidRPr="00F0548E" w:rsidRDefault="00E9094A" w:rsidP="00E9094A">
                      <w:pP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9094A" w:rsidRDefault="00E9094A" w:rsidP="00E9094A">
      <w:pPr>
        <w:rPr>
          <w:rFonts w:asciiTheme="minorHAnsi" w:hAnsiTheme="minorHAnsi" w:cs="Calibri"/>
          <w:b/>
        </w:rPr>
      </w:pPr>
    </w:p>
    <w:p w:rsidR="00E9094A" w:rsidRPr="00E9094A" w:rsidRDefault="00E9094A" w:rsidP="00E9094A">
      <w:pPr>
        <w:jc w:val="center"/>
        <w:rPr>
          <w:rFonts w:asciiTheme="minorHAnsi" w:hAnsiTheme="minorHAnsi" w:cs="Calibri"/>
          <w:b/>
        </w:rPr>
      </w:pPr>
      <w:r w:rsidRPr="00E9094A">
        <w:rPr>
          <w:rFonts w:asciiTheme="minorHAnsi" w:hAnsiTheme="minorHAnsi" w:cs="Calibri"/>
          <w:b/>
        </w:rPr>
        <w:t xml:space="preserve">  </w:t>
      </w:r>
      <w:r w:rsidRPr="00E9094A">
        <w:rPr>
          <w:rFonts w:asciiTheme="minorHAnsi" w:hAnsiTheme="minorHAnsi" w:cs="Calibri"/>
          <w:b/>
          <w:sz w:val="32"/>
          <w:szCs w:val="32"/>
        </w:rPr>
        <w:t xml:space="preserve">Wprowadzanie danych przez przedszkola, szkoły, placówki oświatowe </w:t>
      </w:r>
      <w:r w:rsidR="00CB34C5">
        <w:rPr>
          <w:rFonts w:asciiTheme="minorHAnsi" w:hAnsiTheme="minorHAnsi" w:cs="Calibri"/>
          <w:b/>
          <w:sz w:val="32"/>
          <w:szCs w:val="32"/>
        </w:rPr>
        <w:br/>
      </w:r>
      <w:r w:rsidRPr="00E9094A">
        <w:rPr>
          <w:rFonts w:asciiTheme="minorHAnsi" w:hAnsiTheme="minorHAnsi" w:cs="Calibri"/>
          <w:b/>
          <w:sz w:val="32"/>
          <w:szCs w:val="32"/>
        </w:rPr>
        <w:t>oraz samorządy</w:t>
      </w:r>
    </w:p>
    <w:p w:rsidR="00F206BF" w:rsidRDefault="00F206BF" w:rsidP="003A2B26">
      <w:pPr>
        <w:rPr>
          <w:rFonts w:asciiTheme="minorHAnsi" w:hAnsiTheme="minorHAnsi" w:cs="Calibri"/>
          <w:b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D94BC4">
      <w:pPr>
        <w:jc w:val="center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E9094A">
        <w:rPr>
          <w:rFonts w:asciiTheme="minorHAnsi" w:hAnsiTheme="minorHAnsi" w:cs="Calibri"/>
          <w:b/>
        </w:rPr>
        <w:t xml:space="preserve"> </w:t>
      </w:r>
      <w:r w:rsidR="00CB34C5">
        <w:rPr>
          <w:rFonts w:asciiTheme="minorHAnsi" w:hAnsiTheme="minorHAnsi" w:cs="Calibri"/>
          <w:b/>
          <w:sz w:val="28"/>
          <w:szCs w:val="28"/>
        </w:rPr>
        <w:t xml:space="preserve">Dyrektorzy </w:t>
      </w:r>
      <w:r w:rsidR="00E9094A" w:rsidRPr="00D94BC4">
        <w:rPr>
          <w:rFonts w:asciiTheme="minorHAnsi" w:hAnsiTheme="minorHAnsi" w:cs="Calibri"/>
          <w:b/>
          <w:sz w:val="28"/>
          <w:szCs w:val="28"/>
        </w:rPr>
        <w:t>oraz pracownicy administracji odpowiedzialni za wprowadzanie danych do SIO</w:t>
      </w:r>
      <w:r w:rsidR="00681C32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E9094A" w:rsidRDefault="00E9094A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0716D" w:rsidRDefault="00A0716D" w:rsidP="00A0716D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OPIS</w:t>
      </w:r>
      <w:r w:rsidR="00994DF2"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SZKOLENIA:</w:t>
      </w:r>
    </w:p>
    <w:p w:rsidR="00A0716D" w:rsidRDefault="00A0716D" w:rsidP="00A0716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Celem szkolenia jest poznanie tzw. nowego systemu informacji oświatowej w praktyce. Szkolenie jest przeznaczone przede wszystkim dla pracowników szkół wprowadzających dane do systemu, ale także dla samorządów, które muszą kontrolować czy dane które przekazała szkoła są prawidłowe. </w:t>
      </w:r>
    </w:p>
    <w:p w:rsidR="00E9094A" w:rsidRDefault="00A0716D" w:rsidP="00A0716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6"/>
          <w:szCs w:val="26"/>
        </w:rPr>
      </w:pPr>
      <w:r w:rsidRPr="00323958">
        <w:rPr>
          <w:rFonts w:asciiTheme="minorHAnsi" w:hAnsiTheme="minorHAnsi" w:cs="Calibri"/>
          <w:sz w:val="26"/>
          <w:szCs w:val="26"/>
          <w:u w:val="single"/>
        </w:rPr>
        <w:t>Szkolenie będzie przeprowadzone na rzeczywistej (szkoleniowej) aplikacji nowego SIO</w:t>
      </w:r>
      <w:r>
        <w:rPr>
          <w:rFonts w:asciiTheme="minorHAnsi" w:hAnsiTheme="minorHAnsi" w:cs="Calibri"/>
          <w:sz w:val="26"/>
          <w:szCs w:val="26"/>
        </w:rPr>
        <w:t xml:space="preserve">. </w:t>
      </w:r>
      <w:r w:rsidR="00CB34C5" w:rsidRPr="00CB34C5">
        <w:rPr>
          <w:rFonts w:asciiTheme="minorHAnsi" w:hAnsiTheme="minorHAnsi" w:cs="Calibri"/>
          <w:sz w:val="26"/>
          <w:szCs w:val="26"/>
        </w:rPr>
        <w:t>Prowadzący krok po kroku pokaże na programie nowego SIO jak wprowadzać dane do poszczególnych</w:t>
      </w:r>
      <w:r w:rsidR="00CB34C5">
        <w:rPr>
          <w:rFonts w:asciiTheme="minorHAnsi" w:hAnsiTheme="minorHAnsi" w:cs="Calibri"/>
          <w:sz w:val="26"/>
          <w:szCs w:val="26"/>
        </w:rPr>
        <w:t xml:space="preserve"> modułów nowego SIO. O</w:t>
      </w:r>
      <w:r w:rsidR="00CB34C5" w:rsidRPr="00CB34C5">
        <w:rPr>
          <w:rFonts w:asciiTheme="minorHAnsi" w:hAnsiTheme="minorHAnsi" w:cs="Calibri"/>
          <w:sz w:val="26"/>
          <w:szCs w:val="26"/>
        </w:rPr>
        <w:t xml:space="preserve">prócz technicznych aspektów funkcjonowania </w:t>
      </w:r>
      <w:r w:rsidR="00CB34C5">
        <w:rPr>
          <w:rFonts w:asciiTheme="minorHAnsi" w:hAnsiTheme="minorHAnsi" w:cs="Calibri"/>
          <w:sz w:val="26"/>
          <w:szCs w:val="26"/>
        </w:rPr>
        <w:t>aplikacji przekazane zostaną informacje dotyczące merytorycznyc</w:t>
      </w:r>
      <w:r>
        <w:rPr>
          <w:rFonts w:asciiTheme="minorHAnsi" w:hAnsiTheme="minorHAnsi" w:cs="Calibri"/>
          <w:sz w:val="26"/>
          <w:szCs w:val="26"/>
        </w:rPr>
        <w:t>h aspektów wprowadzania danych do SIO.</w:t>
      </w:r>
    </w:p>
    <w:p w:rsidR="00A0716D" w:rsidRPr="00CB34C5" w:rsidRDefault="00A0716D" w:rsidP="00AE2312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89725C" w:rsidRDefault="0089725C" w:rsidP="00AE2312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Termin:</w:t>
      </w:r>
      <w:r w:rsidR="00D94BC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  </w:t>
      </w:r>
      <w:r w:rsidR="00D94BC4">
        <w:rPr>
          <w:rFonts w:asciiTheme="minorHAnsi" w:hAnsiTheme="minorHAnsi" w:cs="Calibri"/>
          <w:b/>
          <w:sz w:val="26"/>
          <w:szCs w:val="26"/>
        </w:rPr>
        <w:t xml:space="preserve">28 listopada </w:t>
      </w:r>
      <w:r w:rsidR="00D94BC4" w:rsidRPr="00D94BC4">
        <w:rPr>
          <w:rFonts w:asciiTheme="minorHAnsi" w:hAnsiTheme="minorHAnsi" w:cs="Calibri"/>
          <w:b/>
          <w:sz w:val="26"/>
          <w:szCs w:val="26"/>
        </w:rPr>
        <w:t>2019 r.</w:t>
      </w:r>
    </w:p>
    <w:p w:rsidR="0089725C" w:rsidRDefault="0089725C" w:rsidP="00AE2312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89725C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Miejsce </w:t>
      </w:r>
      <w:r w:rsidR="009E1F89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9E1F89" w:rsidRPr="00D94BC4">
        <w:rPr>
          <w:rFonts w:asciiTheme="minorHAnsi" w:hAnsiTheme="minorHAnsi" w:cs="Calibri"/>
          <w:b/>
          <w:sz w:val="26"/>
          <w:szCs w:val="26"/>
        </w:rPr>
        <w:t>–</w:t>
      </w:r>
      <w:r w:rsidR="003F197B" w:rsidRPr="00D94BC4">
        <w:rPr>
          <w:rFonts w:asciiTheme="minorHAnsi" w:hAnsiTheme="minorHAnsi" w:cs="Calibri"/>
          <w:b/>
          <w:sz w:val="26"/>
          <w:szCs w:val="26"/>
        </w:rPr>
        <w:t xml:space="preserve"> </w:t>
      </w:r>
      <w:r w:rsidR="00D94BC4" w:rsidRPr="00D94BC4">
        <w:rPr>
          <w:rFonts w:asciiTheme="minorHAnsi" w:hAnsiTheme="minorHAnsi" w:cs="Calibri"/>
          <w:b/>
          <w:sz w:val="26"/>
          <w:szCs w:val="26"/>
        </w:rPr>
        <w:t>I Liceum Ogólnokształcące w Oleśnicy</w:t>
      </w:r>
      <w:r w:rsidR="00D94BC4">
        <w:rPr>
          <w:rFonts w:asciiTheme="minorHAnsi" w:hAnsiTheme="minorHAnsi" w:cs="Calibri"/>
          <w:sz w:val="26"/>
          <w:szCs w:val="26"/>
        </w:rPr>
        <w:t xml:space="preserve"> (ul. Słowackiego 4)</w:t>
      </w:r>
      <w:r w:rsidR="003F197B">
        <w:rPr>
          <w:rFonts w:asciiTheme="minorHAnsi" w:hAnsiTheme="minorHAnsi" w:cs="Calibri"/>
          <w:sz w:val="26"/>
          <w:szCs w:val="26"/>
        </w:rPr>
        <w:t xml:space="preserve">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716D">
        <w:rPr>
          <w:rFonts w:asciiTheme="minorHAnsi" w:hAnsiTheme="minorHAnsi" w:cs="Calibri"/>
          <w:b/>
        </w:rPr>
        <w:t>Sala nr 17</w:t>
      </w:r>
    </w:p>
    <w:p w:rsidR="000A3E89" w:rsidRPr="002C0DA2" w:rsidRDefault="0089725C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</w:t>
      </w:r>
      <w:r w:rsidR="00D94BC4">
        <w:rPr>
          <w:rFonts w:asciiTheme="minorHAnsi" w:hAnsiTheme="minorHAnsi" w:cs="Calibri"/>
          <w:b/>
        </w:rPr>
        <w:t xml:space="preserve">                 </w:t>
      </w:r>
      <w:r w:rsidR="005330D1"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="00D94BC4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</w:t>
      </w:r>
      <w:r w:rsidR="00D94BC4" w:rsidRPr="00D94BC4">
        <w:rPr>
          <w:rFonts w:ascii="Calibri" w:hAnsi="Calibri" w:cs="Calibri"/>
          <w:b/>
          <w:bCs/>
          <w:sz w:val="26"/>
          <w:szCs w:val="26"/>
        </w:rPr>
        <w:t>– 9:00 – 15:00</w:t>
      </w:r>
      <w:r w:rsidRPr="00D94BC4">
        <w:rPr>
          <w:rFonts w:ascii="Calibri" w:hAnsi="Calibri" w:cs="Calibri"/>
          <w:b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E9094A" w:rsidRDefault="009F6318" w:rsidP="00F0548E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E9094A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E9094A" w:rsidRPr="00E9094A">
        <w:rPr>
          <w:rStyle w:val="Pogrubienie"/>
          <w:rFonts w:asciiTheme="minorHAnsi" w:hAnsiTheme="minorHAnsi"/>
          <w:b w:val="0"/>
          <w:sz w:val="26"/>
          <w:szCs w:val="26"/>
        </w:rPr>
        <w:t xml:space="preserve"> - </w:t>
      </w:r>
      <w:r w:rsidR="00D94BC4" w:rsidRPr="00B77CE5">
        <w:rPr>
          <w:rStyle w:val="Pogrubienie"/>
          <w:rFonts w:asciiTheme="minorHAnsi" w:hAnsiTheme="minorHAnsi"/>
          <w:sz w:val="26"/>
          <w:szCs w:val="26"/>
        </w:rPr>
        <w:t>Grzegorz Pochopień</w:t>
      </w:r>
      <w:r w:rsidR="00D94BC4">
        <w:rPr>
          <w:rStyle w:val="Pogrubienie"/>
          <w:rFonts w:asciiTheme="minorHAnsi" w:hAnsiTheme="minorHAnsi"/>
          <w:b w:val="0"/>
          <w:sz w:val="26"/>
          <w:szCs w:val="26"/>
        </w:rPr>
        <w:t xml:space="preserve"> – przez 6 lat pracownik Ministerstwa Finansów, później przez 9 lat pracownik Ministerstwa Edukacji Narodowej: Naczelnik Wydziału Analiz w Departamencie Ekonomicznym, potem Dyrektor Departamentu odpowiedzialny za System Informacji Oświatowej oraz za finansowanie zadań oświatowych, w tym za opracowanie</w:t>
      </w:r>
      <w:r w:rsidR="00B77CE5">
        <w:rPr>
          <w:rStyle w:val="Pogrubienie"/>
          <w:rFonts w:asciiTheme="minorHAnsi" w:hAnsiTheme="minorHAnsi"/>
          <w:b w:val="0"/>
          <w:sz w:val="26"/>
          <w:szCs w:val="26"/>
        </w:rPr>
        <w:t xml:space="preserve"> corocznego algorytmu podziału części oświatowej subwencji ogólnej. Autor m.in. ustawy o finansowaniu zadań oświatowych, wcześniej przepisów w zakresie tzw. dotacji przedszkolnej, tzw. dotacji podręcznikowej oraz dotacji dla szkół </w:t>
      </w:r>
      <w:r w:rsidR="00B77CE5">
        <w:rPr>
          <w:rStyle w:val="Pogrubienie"/>
          <w:rFonts w:asciiTheme="minorHAnsi" w:hAnsiTheme="minorHAnsi"/>
          <w:b w:val="0"/>
          <w:sz w:val="26"/>
          <w:szCs w:val="26"/>
        </w:rPr>
        <w:br/>
        <w:t>i placówek nie samorządowych (autor definicji: podstawowa kwota dotacji, wskaźnik zwiększający, statystyczna liczba uczniów).</w:t>
      </w:r>
    </w:p>
    <w:p w:rsidR="002318F7" w:rsidRDefault="002318F7" w:rsidP="00F0548E">
      <w:pPr>
        <w:jc w:val="both"/>
        <w:rPr>
          <w:rFonts w:ascii="Calibri" w:hAnsi="Calibri" w:cs="Calibri"/>
          <w:b/>
        </w:rPr>
      </w:pPr>
    </w:p>
    <w:p w:rsidR="00B77CE5" w:rsidRDefault="00B77CE5" w:rsidP="00F0548E">
      <w:pPr>
        <w:jc w:val="both"/>
        <w:rPr>
          <w:rFonts w:ascii="Calibri" w:hAnsi="Calibri" w:cs="Calibri"/>
          <w:b/>
        </w:rPr>
      </w:pPr>
    </w:p>
    <w:p w:rsidR="00071A26" w:rsidRDefault="00071A26" w:rsidP="00B77CE5">
      <w:pPr>
        <w:jc w:val="center"/>
        <w:rPr>
          <w:rFonts w:ascii="Calibri" w:hAnsi="Calibri" w:cs="Calibri"/>
          <w:b/>
          <w:color w:val="C00000"/>
        </w:rPr>
      </w:pPr>
    </w:p>
    <w:p w:rsidR="00071A26" w:rsidRDefault="00071A26" w:rsidP="00A0716D">
      <w:pPr>
        <w:rPr>
          <w:rFonts w:ascii="Calibri" w:hAnsi="Calibri" w:cs="Calibri"/>
          <w:b/>
          <w:color w:val="C00000"/>
        </w:rPr>
      </w:pPr>
    </w:p>
    <w:p w:rsidR="00071A26" w:rsidRDefault="00071A26" w:rsidP="00B77CE5">
      <w:pPr>
        <w:jc w:val="center"/>
        <w:rPr>
          <w:rFonts w:ascii="Calibri" w:hAnsi="Calibri" w:cs="Calibri"/>
          <w:b/>
          <w:color w:val="C00000"/>
        </w:rPr>
      </w:pPr>
    </w:p>
    <w:p w:rsidR="00A0716D" w:rsidRDefault="00B77CE5" w:rsidP="002863F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Uczestnicy szkolenia proszeni są o przyniesienie ze sobą własnego sprzętu komputerowego</w:t>
      </w:r>
      <w:r w:rsidR="002863F7">
        <w:rPr>
          <w:rFonts w:ascii="Calibri" w:hAnsi="Calibri" w:cs="Calibri"/>
          <w:b/>
        </w:rPr>
        <w:t xml:space="preserve"> </w:t>
      </w:r>
      <w:r w:rsidR="00A0716D">
        <w:rPr>
          <w:rFonts w:ascii="Calibri" w:hAnsi="Calibri" w:cs="Calibri"/>
          <w:b/>
        </w:rPr>
        <w:t>(laptopów).</w:t>
      </w:r>
    </w:p>
    <w:p w:rsidR="00B77CE5" w:rsidRDefault="00A0716D" w:rsidP="00F0548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 s</w:t>
      </w:r>
      <w:r w:rsidR="00B77CE5">
        <w:rPr>
          <w:rFonts w:ascii="Calibri" w:hAnsi="Calibri" w:cs="Calibri"/>
          <w:b/>
        </w:rPr>
        <w:t>ali wykładowej jest ograniczona możliwość podłączenia do zasilania.</w:t>
      </w:r>
    </w:p>
    <w:p w:rsidR="00ED436B" w:rsidRDefault="00ED436B" w:rsidP="00F51147">
      <w:pPr>
        <w:rPr>
          <w:rFonts w:ascii="Calibri" w:hAnsi="Calibri" w:cs="Calibri"/>
        </w:rPr>
      </w:pPr>
    </w:p>
    <w:p w:rsidR="00F51147" w:rsidRPr="00F51147" w:rsidRDefault="00ED436B" w:rsidP="00F51147">
      <w:pPr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F51147" w:rsidRPr="00F51147">
        <w:rPr>
          <w:rFonts w:ascii="Calibri" w:hAnsi="Calibri" w:cs="Calibri"/>
          <w:b/>
          <w:color w:val="0070C0"/>
          <w:sz w:val="28"/>
          <w:szCs w:val="28"/>
        </w:rPr>
        <w:t>W ramach szkolenia zapewniamy ciepły posiłek oraz serwis kawowy</w:t>
      </w:r>
      <w:r w:rsidR="002B5609">
        <w:rPr>
          <w:rFonts w:ascii="Calibri" w:hAnsi="Calibri" w:cs="Calibri"/>
          <w:b/>
          <w:color w:val="0070C0"/>
          <w:sz w:val="28"/>
          <w:szCs w:val="28"/>
        </w:rPr>
        <w:t>.</w:t>
      </w:r>
      <w:bookmarkStart w:id="0" w:name="_GoBack"/>
      <w:bookmarkEnd w:id="0"/>
    </w:p>
    <w:p w:rsidR="00F51147" w:rsidRDefault="00F51147" w:rsidP="00F0548E">
      <w:pPr>
        <w:jc w:val="both"/>
        <w:rPr>
          <w:rFonts w:ascii="Calibri" w:hAnsi="Calibri" w:cs="Calibri"/>
        </w:rPr>
      </w:pPr>
    </w:p>
    <w:p w:rsidR="00B77CE5" w:rsidRDefault="00B77CE5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prosimy o przesyłanie zgłoszeń do</w:t>
      </w:r>
      <w:r w:rsidR="00A0716D">
        <w:rPr>
          <w:rFonts w:ascii="Calibri" w:hAnsi="Calibri" w:cs="Calibri"/>
          <w:b/>
          <w:bCs/>
          <w:color w:val="C00000"/>
        </w:rPr>
        <w:t xml:space="preserve"> 26.11.2019</w:t>
      </w:r>
      <w:r w:rsidR="00E9094A">
        <w:rPr>
          <w:rFonts w:ascii="Calibri" w:hAnsi="Calibri" w:cs="Calibri"/>
          <w:b/>
          <w:bCs/>
          <w:color w:val="C00000"/>
        </w:rPr>
        <w:t xml:space="preserve"> </w:t>
      </w:r>
      <w:r w:rsidR="003F197B" w:rsidRPr="00371643">
        <w:rPr>
          <w:rFonts w:ascii="Calibri" w:hAnsi="Calibri" w:cs="Calibri"/>
          <w:b/>
          <w:bCs/>
          <w:color w:val="C00000"/>
        </w:rPr>
        <w:t>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E9094A" w:rsidRDefault="00E9094A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E9094A" w:rsidRPr="00E9094A" w:rsidRDefault="00AE2312" w:rsidP="004D25B9">
      <w:pPr>
        <w:ind w:left="360" w:hanging="360"/>
        <w:jc w:val="both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</w:t>
      </w:r>
      <w:r w:rsidR="00E9094A">
        <w:rPr>
          <w:rFonts w:ascii="Calibri" w:hAnsi="Calibri" w:cs="Calibri"/>
        </w:rPr>
        <w:t>dyrektorzy</w:t>
      </w:r>
      <w:r w:rsidRPr="00AE2312">
        <w:rPr>
          <w:rFonts w:ascii="Calibri" w:hAnsi="Calibri" w:cs="Calibri"/>
        </w:rPr>
        <w:t xml:space="preserve"> z placówek oświatowych prowadzonych przez Miasta i Gminy, które podpisały z PCEiK porozumienie dotyczące doskonalenia zawodowego nauczycieli na 2019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E9094A">
        <w:rPr>
          <w:rFonts w:ascii="Calibri" w:hAnsi="Calibri" w:cs="Calibri"/>
          <w:b/>
        </w:rPr>
        <w:t>bezpłatnie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E9094A" w:rsidP="00E9094A">
      <w:pPr>
        <w:ind w:left="36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● </w:t>
      </w:r>
      <w:r w:rsidR="004D25B9">
        <w:rPr>
          <w:rFonts w:ascii="Calibri" w:hAnsi="Calibri" w:cs="Calibri"/>
        </w:rPr>
        <w:t xml:space="preserve"> dyrektorzy z placówek oświatowych prowadzonych przez Miasta i Gminy, którzy nie podpisali z </w:t>
      </w:r>
      <w:proofErr w:type="spellStart"/>
      <w:r w:rsidR="004D25B9">
        <w:rPr>
          <w:rFonts w:ascii="Calibri" w:hAnsi="Calibri" w:cs="Calibri"/>
        </w:rPr>
        <w:t>PCEiK</w:t>
      </w:r>
      <w:proofErr w:type="spellEnd"/>
      <w:r w:rsidR="004D25B9">
        <w:rPr>
          <w:rFonts w:ascii="Calibri" w:hAnsi="Calibri" w:cs="Calibri"/>
        </w:rPr>
        <w:t xml:space="preserve"> porozumienia dotyczącego doskonalenia zawodowego nauczycieli na rok 2019, dyrektorzy z placówek niepublicznych oraz </w:t>
      </w:r>
      <w:r>
        <w:rPr>
          <w:rFonts w:ascii="Calibri" w:hAnsi="Calibri" w:cs="Calibri"/>
        </w:rPr>
        <w:t>pracownicy administracyjni odpowiedzialni za wprowadzani</w:t>
      </w:r>
      <w:r w:rsidR="004D25B9">
        <w:rPr>
          <w:rFonts w:ascii="Calibri" w:hAnsi="Calibri" w:cs="Calibri"/>
        </w:rPr>
        <w:t xml:space="preserve">e danych do Systemu Informacji </w:t>
      </w:r>
      <w:r>
        <w:rPr>
          <w:rFonts w:ascii="Calibri" w:hAnsi="Calibri" w:cs="Calibri"/>
        </w:rPr>
        <w:t xml:space="preserve">Oświatowej – </w:t>
      </w:r>
      <w:r w:rsidRPr="00E9094A">
        <w:rPr>
          <w:rFonts w:ascii="Calibri" w:hAnsi="Calibri" w:cs="Calibri"/>
          <w:b/>
        </w:rPr>
        <w:t>200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61" w:rsidRDefault="00417A61" w:rsidP="0074050A">
      <w:r>
        <w:separator/>
      </w:r>
    </w:p>
  </w:endnote>
  <w:endnote w:type="continuationSeparator" w:id="0">
    <w:p w:rsidR="00417A61" w:rsidRDefault="00417A6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61" w:rsidRDefault="00417A61" w:rsidP="0074050A">
      <w:r>
        <w:separator/>
      </w:r>
    </w:p>
  </w:footnote>
  <w:footnote w:type="continuationSeparator" w:id="0">
    <w:p w:rsidR="00417A61" w:rsidRDefault="00417A6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0192"/>
    <w:multiLevelType w:val="hybridMultilevel"/>
    <w:tmpl w:val="F70A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6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27"/>
  </w:num>
  <w:num w:numId="38">
    <w:abstractNumId w:val="7"/>
  </w:num>
  <w:num w:numId="39">
    <w:abstractNumId w:val="15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71A26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63F7"/>
    <w:rsid w:val="002876DC"/>
    <w:rsid w:val="00291D43"/>
    <w:rsid w:val="002A597D"/>
    <w:rsid w:val="002B5342"/>
    <w:rsid w:val="002B5609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3958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17A61"/>
    <w:rsid w:val="004344FC"/>
    <w:rsid w:val="004561F6"/>
    <w:rsid w:val="00472988"/>
    <w:rsid w:val="00492A72"/>
    <w:rsid w:val="00496642"/>
    <w:rsid w:val="004A5C9D"/>
    <w:rsid w:val="004A6BF2"/>
    <w:rsid w:val="004B71CA"/>
    <w:rsid w:val="004C690D"/>
    <w:rsid w:val="004C6E77"/>
    <w:rsid w:val="004D25B9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92CF9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1C32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62F4F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9725C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A64EE"/>
    <w:rsid w:val="009B16FA"/>
    <w:rsid w:val="009B4B99"/>
    <w:rsid w:val="009C19D2"/>
    <w:rsid w:val="009C29BB"/>
    <w:rsid w:val="009E1F89"/>
    <w:rsid w:val="009E54A6"/>
    <w:rsid w:val="009F15FB"/>
    <w:rsid w:val="009F6318"/>
    <w:rsid w:val="009F7E32"/>
    <w:rsid w:val="00A0716D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77CE5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B34C5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4BC4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094A"/>
    <w:rsid w:val="00E96147"/>
    <w:rsid w:val="00EC6DE9"/>
    <w:rsid w:val="00ED436B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1147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8C32-C222-4E7E-9124-41F3F00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14</cp:revision>
  <cp:lastPrinted>2019-11-13T14:38:00Z</cp:lastPrinted>
  <dcterms:created xsi:type="dcterms:W3CDTF">2019-11-13T13:19:00Z</dcterms:created>
  <dcterms:modified xsi:type="dcterms:W3CDTF">2019-11-14T11:04:00Z</dcterms:modified>
</cp:coreProperties>
</file>