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A4650F" w:rsidRPr="00D25131" w:rsidRDefault="0055344E" w:rsidP="00D25131">
      <w:pPr>
        <w:jc w:val="center"/>
        <w:rPr>
          <w:rFonts w:ascii="Calibri" w:hAnsi="Calibri" w:cs="Calibri"/>
          <w:b/>
          <w:sz w:val="40"/>
          <w:szCs w:val="40"/>
        </w:rPr>
      </w:pPr>
      <w:r w:rsidRPr="0055344E">
        <w:rPr>
          <w:rFonts w:ascii="Calibri" w:hAnsi="Calibri" w:cs="Calibri"/>
          <w:b/>
          <w:sz w:val="40"/>
          <w:szCs w:val="40"/>
        </w:rPr>
        <w:t>z elementami psychologii rozwoju osobistego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5344E" w:rsidP="00F12D12">
                            <w:pPr>
                              <w:jc w:val="center"/>
                            </w:pPr>
                            <w:r w:rsidRPr="0055344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Kompendium wiedzy i umiejętności nauczyciela edukacji wczesnoszkolnej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55344E" w:rsidP="00F12D12">
                      <w:pPr>
                        <w:jc w:val="center"/>
                      </w:pPr>
                      <w:r w:rsidRPr="0055344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Kompendium wiedzy i umiejętności nauczyciela edukacji wczesnoszkolnej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76337F">
        <w:rPr>
          <w:rFonts w:asciiTheme="minorHAnsi" w:hAnsiTheme="minorHAnsi" w:cs="Calibri"/>
          <w:b/>
        </w:rPr>
        <w:t>0</w:t>
      </w:r>
      <w:r w:rsidR="0055344E">
        <w:rPr>
          <w:rFonts w:asciiTheme="minorHAnsi" w:hAnsiTheme="minorHAnsi" w:cs="Calibri"/>
          <w:b/>
        </w:rPr>
        <w:t>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55344E">
        <w:rPr>
          <w:rFonts w:asciiTheme="minorHAnsi" w:hAnsiTheme="minorHAnsi" w:cs="Calibri"/>
          <w:b/>
        </w:rPr>
        <w:t xml:space="preserve"> edukacji wczesnoszkolnej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55344E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5344E" w:rsidRPr="0055344E">
        <w:rPr>
          <w:rFonts w:asciiTheme="minorHAnsi" w:hAnsiTheme="minorHAnsi" w:cs="Calibri"/>
        </w:rPr>
        <w:t>Wyposażenie uczestników szkol</w:t>
      </w:r>
      <w:r w:rsidR="0055344E">
        <w:rPr>
          <w:rFonts w:asciiTheme="minorHAnsi" w:hAnsiTheme="minorHAnsi" w:cs="Calibri"/>
        </w:rPr>
        <w:t>enia w wiedzę i umiejętności, które gwarantują satysfakcję z </w:t>
      </w:r>
      <w:r w:rsidR="0055344E" w:rsidRPr="0055344E">
        <w:rPr>
          <w:rFonts w:asciiTheme="minorHAnsi" w:hAnsiTheme="minorHAnsi" w:cs="Calibri"/>
        </w:rPr>
        <w:t>wykonywanej pracy w edukacji wczesnoszkolnej i podniesienie jakości pracy placówki macierzystej.</w:t>
      </w: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6337F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55344E" w:rsidRPr="0055344E" w:rsidRDefault="0055344E" w:rsidP="0055344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55344E">
        <w:rPr>
          <w:rFonts w:asciiTheme="minorHAnsi" w:hAnsiTheme="minorHAnsi"/>
          <w:bCs/>
        </w:rPr>
        <w:t xml:space="preserve">Uczestnik: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Potrafi, wykorzystując różnorodne narzędzia,  prawidłowo przeprow</w:t>
      </w:r>
      <w:r w:rsidR="00A21A2D">
        <w:rPr>
          <w:bCs/>
        </w:rPr>
        <w:t xml:space="preserve">adzić wstępną diagnozę ucznia </w:t>
      </w:r>
      <w:r w:rsidRPr="0055344E">
        <w:rPr>
          <w:bCs/>
        </w:rPr>
        <w:t>klasy pierwszej.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program nauczania edukacji wczesnoszkolnej i potrafi go  dostosować do potrzeb i warunków swojej grupy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teorię inteligencji wielorakich i jej praktyczne zastosowanie. Potrafi prawidłowo określić typ inteligencji dziecka.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rolę nauczyciel</w:t>
      </w:r>
      <w:r w:rsidR="00A21A2D">
        <w:rPr>
          <w:bCs/>
        </w:rPr>
        <w:t>a</w:t>
      </w:r>
      <w:r w:rsidRPr="0055344E">
        <w:rPr>
          <w:bCs/>
        </w:rPr>
        <w:t xml:space="preserve"> w rozwijaniu inteligencji wielorakich dzieci.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Identyfikuje trudności w uczeniu się, deficyty uwagi oraz specjalne potrzeby edukacyjne swoich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przekaz treści Piramidy Maslowa, Piramidy Logana oraz Efektu Krugera-</w:t>
      </w:r>
      <w:proofErr w:type="spellStart"/>
      <w:r w:rsidRPr="0055344E">
        <w:rPr>
          <w:bCs/>
        </w:rPr>
        <w:t>Dunninga</w:t>
      </w:r>
      <w:proofErr w:type="spellEnd"/>
      <w:r w:rsidRPr="0055344E">
        <w:rPr>
          <w:bCs/>
        </w:rPr>
        <w:t>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podstawowe style komunikacji.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prawidłowo wykorzystać swój osobisty potencjał.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przygotować ucznia do świadomego uczestnictwa  w kulturze i obcowania z literaturą.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zasady tworzenia autorskich programów.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Ma potrzebę rozwijać u uczniów wyobraźnię, wra</w:t>
      </w:r>
      <w:r>
        <w:rPr>
          <w:bCs/>
        </w:rPr>
        <w:t xml:space="preserve">żliwość </w:t>
      </w:r>
      <w:r w:rsidRPr="0055344E">
        <w:rPr>
          <w:bCs/>
        </w:rPr>
        <w:t xml:space="preserve"> i inwencję twórczą.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różne sposoby oceniania ucznia oraz  zasady oceniania kształtującego.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Podnosi swoje kwalifikacje w celu podniesienia jakości kształcenia.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 Umie motywować siebie oraz uczniów do pracy.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Umacnia poczucie własnej wartości.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Poznaje szereg zabaw</w:t>
      </w:r>
      <w:r>
        <w:rPr>
          <w:bCs/>
        </w:rPr>
        <w:t xml:space="preserve"> wyciszających, aktywizujących </w:t>
      </w:r>
      <w:r w:rsidRPr="0055344E">
        <w:rPr>
          <w:bCs/>
        </w:rPr>
        <w:t>i motywujących.</w:t>
      </w: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55344E">
        <w:rPr>
          <w:rFonts w:asciiTheme="minorHAnsi" w:hAnsiTheme="minorHAnsi" w:cs="Calibri"/>
          <w:b/>
        </w:rPr>
        <w:t>06, 07, 08, 09</w:t>
      </w:r>
      <w:r w:rsidR="00462337">
        <w:rPr>
          <w:rFonts w:asciiTheme="minorHAnsi" w:hAnsiTheme="minorHAnsi" w:cs="Calibri"/>
          <w:b/>
        </w:rPr>
        <w:t xml:space="preserve"> listopada 2019 r.    </w:t>
      </w:r>
      <w:bookmarkStart w:id="13" w:name="_GoBack"/>
      <w:bookmarkEnd w:id="13"/>
      <w:r w:rsidR="002F7CFB" w:rsidRPr="00F24DF3">
        <w:rPr>
          <w:rFonts w:asciiTheme="minorHAnsi" w:hAnsiTheme="minorHAnsi" w:cs="Calibri"/>
          <w:b/>
        </w:rPr>
        <w:t xml:space="preserve">godz. </w:t>
      </w:r>
      <w:r w:rsidR="0055344E">
        <w:rPr>
          <w:rFonts w:asciiTheme="minorHAnsi" w:hAnsiTheme="minorHAnsi" w:cs="Calibri"/>
          <w:b/>
        </w:rPr>
        <w:t>9.00 – 15.30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5344E">
        <w:rPr>
          <w:rFonts w:ascii="Calibri" w:hAnsi="Calibri" w:cs="Calibri"/>
          <w:bCs/>
        </w:rPr>
        <w:t>32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  <w:r w:rsidR="0055344E">
        <w:rPr>
          <w:rFonts w:ascii="Calibri" w:hAnsi="Calibri" w:cs="Calibri"/>
          <w:bCs/>
        </w:rPr>
        <w:t xml:space="preserve"> (4 spotkania x 8 godzin dydaktycznych)</w:t>
      </w:r>
    </w:p>
    <w:p w:rsidR="00291D43" w:rsidRPr="006A6027" w:rsidRDefault="00291D43" w:rsidP="001B1B4F">
      <w:pPr>
        <w:rPr>
          <w:rStyle w:val="Pogrubienie"/>
          <w:b w:val="0"/>
          <w:sz w:val="20"/>
          <w:szCs w:val="20"/>
        </w:rPr>
      </w:pPr>
    </w:p>
    <w:p w:rsidR="0055344E" w:rsidRPr="006A6027" w:rsidRDefault="0055344E" w:rsidP="0055344E">
      <w:pPr>
        <w:spacing w:after="240"/>
        <w:ind w:left="360" w:hanging="360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55344E" w:rsidRDefault="0055344E" w:rsidP="002876DC">
      <w:pPr>
        <w:jc w:val="both"/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0310FC" w:rsidRDefault="00291D43" w:rsidP="002876DC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B2372" w:rsidRPr="008B2372">
        <w:rPr>
          <w:rFonts w:asciiTheme="minorHAnsi" w:hAnsiTheme="minorHAnsi"/>
          <w:b/>
          <w:bCs/>
        </w:rPr>
        <w:t xml:space="preserve">Urszula </w:t>
      </w:r>
      <w:proofErr w:type="spellStart"/>
      <w:r w:rsidR="008B2372" w:rsidRPr="008B2372">
        <w:rPr>
          <w:rFonts w:asciiTheme="minorHAnsi" w:hAnsiTheme="minorHAnsi"/>
          <w:b/>
          <w:bCs/>
        </w:rPr>
        <w:t>Ewertowska</w:t>
      </w:r>
      <w:proofErr w:type="spellEnd"/>
      <w:r w:rsidR="008B2372" w:rsidRPr="008B2372">
        <w:rPr>
          <w:rFonts w:asciiTheme="minorHAnsi" w:hAnsiTheme="minorHAnsi"/>
          <w:b/>
          <w:bCs/>
        </w:rPr>
        <w:t xml:space="preserve"> </w:t>
      </w:r>
      <w:r w:rsidR="008B2372" w:rsidRPr="008B2372">
        <w:rPr>
          <w:rFonts w:asciiTheme="minorHAnsi" w:hAnsiTheme="minorHAnsi"/>
          <w:bCs/>
        </w:rPr>
        <w:t>– konsultant ds. ed</w:t>
      </w:r>
      <w:r w:rsidR="008B2372">
        <w:rPr>
          <w:rFonts w:asciiTheme="minorHAnsi" w:hAnsiTheme="minorHAnsi"/>
          <w:bCs/>
        </w:rPr>
        <w:t xml:space="preserve">ukacji wczesnoszkolnej w </w:t>
      </w:r>
      <w:proofErr w:type="spellStart"/>
      <w:r w:rsidR="008B2372">
        <w:rPr>
          <w:rFonts w:asciiTheme="minorHAnsi" w:hAnsiTheme="minorHAnsi"/>
          <w:bCs/>
        </w:rPr>
        <w:t>PCEiK</w:t>
      </w:r>
      <w:proofErr w:type="spellEnd"/>
      <w:r w:rsidR="008B2372" w:rsidRPr="008B2372">
        <w:rPr>
          <w:rFonts w:asciiTheme="minorHAnsi" w:hAnsiTheme="minorHAnsi"/>
          <w:bCs/>
        </w:rPr>
        <w:t xml:space="preserve"> </w:t>
      </w:r>
      <w:r w:rsidR="008B2372">
        <w:rPr>
          <w:rFonts w:asciiTheme="minorHAnsi" w:hAnsiTheme="minorHAnsi"/>
          <w:bCs/>
        </w:rPr>
        <w:t>w Oleśnicy. Pedagog twórczości.</w:t>
      </w:r>
      <w:r w:rsidR="008B2372" w:rsidRPr="008B2372">
        <w:rPr>
          <w:rFonts w:asciiTheme="minorHAnsi" w:hAnsiTheme="minorHAnsi"/>
          <w:bCs/>
        </w:rPr>
        <w:t xml:space="preserve"> Praktykujący nauczyciel edukacji wczesnoszko</w:t>
      </w:r>
      <w:r w:rsidR="008B2372">
        <w:rPr>
          <w:rFonts w:asciiTheme="minorHAnsi" w:hAnsiTheme="minorHAnsi"/>
          <w:bCs/>
        </w:rPr>
        <w:t>lnej z 3</w:t>
      </w:r>
      <w:r w:rsidR="0076337F">
        <w:rPr>
          <w:rFonts w:asciiTheme="minorHAnsi" w:hAnsiTheme="minorHAnsi"/>
          <w:bCs/>
        </w:rPr>
        <w:t>4</w:t>
      </w:r>
      <w:r w:rsidR="008B2372">
        <w:rPr>
          <w:rFonts w:asciiTheme="minorHAnsi" w:hAnsiTheme="minorHAnsi"/>
          <w:bCs/>
        </w:rPr>
        <w:t xml:space="preserve">-letnim stażem pracy. </w:t>
      </w:r>
      <w:r w:rsidR="008B2372" w:rsidRPr="008B2372">
        <w:rPr>
          <w:rFonts w:asciiTheme="minorHAnsi" w:hAnsiTheme="minorHAnsi"/>
          <w:bCs/>
        </w:rPr>
        <w:t xml:space="preserve">Lider Wewnątrzszkolnego Doskonalenia Nauczycieli. Szkolny Organizator Rozwoju Edukacji. Certyfikowany </w:t>
      </w:r>
      <w:proofErr w:type="spellStart"/>
      <w:r w:rsidR="008B2372" w:rsidRPr="008B2372">
        <w:rPr>
          <w:rFonts w:asciiTheme="minorHAnsi" w:hAnsiTheme="minorHAnsi"/>
          <w:bCs/>
        </w:rPr>
        <w:t>coach</w:t>
      </w:r>
      <w:proofErr w:type="spellEnd"/>
      <w:r w:rsidR="008B2372" w:rsidRPr="008B2372">
        <w:rPr>
          <w:rFonts w:asciiTheme="minorHAnsi" w:hAnsiTheme="minorHAnsi"/>
          <w:bCs/>
        </w:rPr>
        <w:t xml:space="preserve"> pomagający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55344E" w:rsidRPr="00F24DF3" w:rsidRDefault="0055344E" w:rsidP="002876DC">
      <w:pPr>
        <w:jc w:val="both"/>
        <w:rPr>
          <w:rStyle w:val="Pogrubienie"/>
          <w:rFonts w:asciiTheme="minorHAnsi" w:hAnsiTheme="minorHAnsi"/>
          <w:szCs w:val="26"/>
        </w:rPr>
      </w:pP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F6021">
        <w:rPr>
          <w:rFonts w:ascii="Calibri" w:hAnsi="Calibri" w:cs="Calibri"/>
          <w:b/>
          <w:bCs/>
          <w:color w:val="C00000"/>
        </w:rPr>
        <w:t>31</w:t>
      </w:r>
      <w:r w:rsidR="0076337F">
        <w:rPr>
          <w:rFonts w:ascii="Calibri" w:hAnsi="Calibri" w:cs="Calibri"/>
          <w:b/>
          <w:bCs/>
          <w:color w:val="C00000"/>
        </w:rPr>
        <w:t>.10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5344E" w:rsidRPr="00BA71C0" w:rsidRDefault="005534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6A6027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F6021">
        <w:rPr>
          <w:rFonts w:ascii="Calibri" w:hAnsi="Calibri" w:cs="Calibri"/>
          <w:b/>
        </w:rPr>
        <w:t>200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6A6027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6A6027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F6021">
        <w:rPr>
          <w:rFonts w:ascii="Calibri" w:hAnsi="Calibri" w:cs="Calibri"/>
          <w:b/>
        </w:rPr>
        <w:t>4</w:t>
      </w:r>
      <w:r w:rsidR="00FB4665" w:rsidRPr="006A6027">
        <w:rPr>
          <w:rFonts w:ascii="Calibri" w:hAnsi="Calibri" w:cs="Calibri"/>
          <w:b/>
        </w:rPr>
        <w:t>00</w:t>
      </w:r>
      <w:r w:rsidRPr="006A6027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3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3" w:rsidRDefault="00D03533" w:rsidP="0074050A">
      <w:r>
        <w:separator/>
      </w:r>
    </w:p>
  </w:endnote>
  <w:endnote w:type="continuationSeparator" w:id="0">
    <w:p w:rsidR="00D03533" w:rsidRDefault="00D03533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3" w:rsidRDefault="00D03533" w:rsidP="0074050A">
      <w:r>
        <w:separator/>
      </w:r>
    </w:p>
  </w:footnote>
  <w:footnote w:type="continuationSeparator" w:id="0">
    <w:p w:rsidR="00D03533" w:rsidRDefault="00D03533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07DBD"/>
    <w:rsid w:val="00857FF0"/>
    <w:rsid w:val="00867C44"/>
    <w:rsid w:val="0088488D"/>
    <w:rsid w:val="00891EA3"/>
    <w:rsid w:val="00894086"/>
    <w:rsid w:val="008A2069"/>
    <w:rsid w:val="008B2372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F7D7E"/>
    <w:rsid w:val="00D03533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0956-E5F1-42F7-B5FE-FDA735ED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2018-03-07T14:16:00Z</cp:lastPrinted>
  <dcterms:created xsi:type="dcterms:W3CDTF">2019-09-16T09:22:00Z</dcterms:created>
  <dcterms:modified xsi:type="dcterms:W3CDTF">2019-09-17T12:29:00Z</dcterms:modified>
</cp:coreProperties>
</file>