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372" w:rsidRDefault="008B2372" w:rsidP="00F12D12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B237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Gry i zabawy aktywizujące. </w:t>
                            </w:r>
                          </w:p>
                          <w:p w:rsidR="00C51723" w:rsidRDefault="0076337F" w:rsidP="00F12D1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Gry i </w:t>
                            </w:r>
                            <w:r w:rsidR="008B2372" w:rsidRPr="008B237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zabawy wyciszające oraz uspokajające</w:t>
                            </w:r>
                            <w:r w:rsidR="006A602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8B2372" w:rsidRDefault="008B2372" w:rsidP="00F12D12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8B2372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Gry i zabawy aktywizujące. </w:t>
                      </w:r>
                    </w:p>
                    <w:p w:rsidR="00C51723" w:rsidRDefault="0076337F" w:rsidP="00F12D12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Gry i </w:t>
                      </w:r>
                      <w:r w:rsidR="008B2372" w:rsidRPr="008B2372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zabawy wyciszające oraz uspokajające</w:t>
                      </w:r>
                      <w:r w:rsidR="006A602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6337F">
        <w:rPr>
          <w:rFonts w:asciiTheme="minorHAnsi" w:hAnsiTheme="minorHAnsi" w:cs="Calibri"/>
          <w:b/>
        </w:rPr>
        <w:t>08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B2372">
        <w:rPr>
          <w:rFonts w:asciiTheme="minorHAnsi" w:hAnsiTheme="minorHAnsi" w:cs="Calibri"/>
          <w:b/>
        </w:rPr>
        <w:t>Nauczyciele</w:t>
      </w:r>
      <w:r w:rsidR="008B2372" w:rsidRPr="008B2372">
        <w:rPr>
          <w:rFonts w:asciiTheme="minorHAnsi" w:hAnsiTheme="minorHAnsi" w:cs="Calibri"/>
          <w:b/>
        </w:rPr>
        <w:t xml:space="preserve"> edukacji wczesnoszkolnej i przedszkolnej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A718EB">
        <w:rPr>
          <w:rFonts w:asciiTheme="minorHAnsi" w:hAnsiTheme="minorHAnsi" w:cs="Calibri"/>
          <w:b/>
          <w:sz w:val="28"/>
        </w:rPr>
        <w:t xml:space="preserve"> </w:t>
      </w:r>
      <w:r w:rsidR="008B2372" w:rsidRPr="008B2372">
        <w:rPr>
          <w:rFonts w:asciiTheme="minorHAnsi" w:hAnsiTheme="minorHAnsi" w:cs="Calibri"/>
        </w:rPr>
        <w:t>Poznanie zabaw wspomagających  rozwój dziecka</w:t>
      </w: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6337F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76337F" w:rsidRPr="0076337F" w:rsidRDefault="0076337F" w:rsidP="0076337F">
      <w:pPr>
        <w:ind w:left="851" w:hanging="851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Diagnoza potrzeb dziecka. </w:t>
      </w:r>
      <w:r w:rsidRPr="0076337F">
        <w:rPr>
          <w:rFonts w:asciiTheme="minorHAnsi" w:hAnsiTheme="minorHAnsi" w:cs="Calibri"/>
          <w:sz w:val="26"/>
          <w:szCs w:val="26"/>
        </w:rPr>
        <w:t>Zarz</w:t>
      </w:r>
      <w:r>
        <w:rPr>
          <w:rFonts w:asciiTheme="minorHAnsi" w:hAnsiTheme="minorHAnsi" w:cs="Calibri"/>
          <w:sz w:val="26"/>
          <w:szCs w:val="26"/>
        </w:rPr>
        <w:t xml:space="preserve">ądzanie emocjami. Pedagogika zabawy. </w:t>
      </w:r>
      <w:r w:rsidRPr="0076337F">
        <w:rPr>
          <w:rFonts w:asciiTheme="minorHAnsi" w:hAnsiTheme="minorHAnsi" w:cs="Calibri"/>
          <w:sz w:val="26"/>
          <w:szCs w:val="26"/>
        </w:rPr>
        <w:t>Rola zabaw aktywizujących.</w:t>
      </w:r>
    </w:p>
    <w:p w:rsidR="0076337F" w:rsidRPr="0076337F" w:rsidRDefault="0076337F" w:rsidP="0076337F">
      <w:pPr>
        <w:ind w:hanging="142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  Rola zabaw wyciszających. Koncentracja uwagi, a uważność. Lekcje ciszy Marii Montessori. Edukacja </w:t>
      </w:r>
      <w:r w:rsidRPr="0076337F">
        <w:rPr>
          <w:rFonts w:asciiTheme="minorHAnsi" w:hAnsiTheme="minorHAnsi" w:cs="Calibri"/>
          <w:sz w:val="26"/>
          <w:szCs w:val="26"/>
        </w:rPr>
        <w:t>przez ruch.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76337F">
        <w:rPr>
          <w:rFonts w:asciiTheme="minorHAnsi" w:hAnsiTheme="minorHAnsi" w:cs="Calibri"/>
          <w:b/>
        </w:rPr>
        <w:t>21.10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F24DF3">
        <w:rPr>
          <w:rFonts w:asciiTheme="minorHAnsi" w:hAnsiTheme="minorHAnsi" w:cs="Calibri"/>
          <w:b/>
        </w:rPr>
        <w:t xml:space="preserve">godz. </w:t>
      </w:r>
      <w:r w:rsidR="008B2372">
        <w:rPr>
          <w:rFonts w:asciiTheme="minorHAnsi" w:hAnsiTheme="minorHAnsi" w:cs="Calibri"/>
          <w:b/>
        </w:rPr>
        <w:t>16:0</w:t>
      </w:r>
      <w:r w:rsidR="001A7150" w:rsidRPr="00F24DF3">
        <w:rPr>
          <w:rFonts w:asciiTheme="minorHAnsi" w:hAnsiTheme="minorHAnsi" w:cs="Calibri"/>
          <w:b/>
        </w:rPr>
        <w:t>0</w:t>
      </w:r>
      <w:bookmarkStart w:id="13" w:name="_GoBack"/>
      <w:bookmarkEnd w:id="13"/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8B2372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8B2372">
        <w:rPr>
          <w:rFonts w:ascii="Calibri" w:hAnsi="Calibri" w:cs="Calibri"/>
          <w:bCs/>
        </w:rPr>
        <w:t>y dydaktyczne</w:t>
      </w:r>
    </w:p>
    <w:p w:rsidR="00291D43" w:rsidRPr="006A6027" w:rsidRDefault="00291D43" w:rsidP="001B1B4F">
      <w:pPr>
        <w:rPr>
          <w:rStyle w:val="Pogrubienie"/>
          <w:b w:val="0"/>
          <w:sz w:val="20"/>
          <w:szCs w:val="20"/>
        </w:rPr>
      </w:pPr>
    </w:p>
    <w:p w:rsidR="000310FC" w:rsidRPr="00F24DF3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B2372" w:rsidRPr="008B2372">
        <w:rPr>
          <w:rFonts w:asciiTheme="minorHAnsi" w:hAnsiTheme="minorHAnsi"/>
          <w:b/>
          <w:bCs/>
        </w:rPr>
        <w:t xml:space="preserve">Urszula </w:t>
      </w:r>
      <w:proofErr w:type="spellStart"/>
      <w:r w:rsidR="008B2372" w:rsidRPr="008B2372">
        <w:rPr>
          <w:rFonts w:asciiTheme="minorHAnsi" w:hAnsiTheme="minorHAnsi"/>
          <w:b/>
          <w:bCs/>
        </w:rPr>
        <w:t>Ewertowska</w:t>
      </w:r>
      <w:proofErr w:type="spellEnd"/>
      <w:r w:rsidR="008B2372" w:rsidRPr="008B2372">
        <w:rPr>
          <w:rFonts w:asciiTheme="minorHAnsi" w:hAnsiTheme="minorHAnsi"/>
          <w:b/>
          <w:bCs/>
        </w:rPr>
        <w:t xml:space="preserve"> </w:t>
      </w:r>
      <w:r w:rsidR="008B2372" w:rsidRPr="008B2372">
        <w:rPr>
          <w:rFonts w:asciiTheme="minorHAnsi" w:hAnsiTheme="minorHAnsi"/>
          <w:bCs/>
        </w:rPr>
        <w:t>– konsultant ds. ed</w:t>
      </w:r>
      <w:r w:rsidR="008B2372">
        <w:rPr>
          <w:rFonts w:asciiTheme="minorHAnsi" w:hAnsiTheme="minorHAnsi"/>
          <w:bCs/>
        </w:rPr>
        <w:t xml:space="preserve">ukacji wczesnoszkolnej w </w:t>
      </w:r>
      <w:proofErr w:type="spellStart"/>
      <w:r w:rsidR="008B2372">
        <w:rPr>
          <w:rFonts w:asciiTheme="minorHAnsi" w:hAnsiTheme="minorHAnsi"/>
          <w:bCs/>
        </w:rPr>
        <w:t>PCEiK</w:t>
      </w:r>
      <w:proofErr w:type="spellEnd"/>
      <w:r w:rsidR="008B2372" w:rsidRPr="008B2372">
        <w:rPr>
          <w:rFonts w:asciiTheme="minorHAnsi" w:hAnsiTheme="minorHAnsi"/>
          <w:bCs/>
        </w:rPr>
        <w:t xml:space="preserve"> </w:t>
      </w:r>
      <w:r w:rsidR="008B2372">
        <w:rPr>
          <w:rFonts w:asciiTheme="minorHAnsi" w:hAnsiTheme="minorHAnsi"/>
          <w:bCs/>
        </w:rPr>
        <w:t>w Oleśnicy. Pedagog twórczości.</w:t>
      </w:r>
      <w:r w:rsidR="008B2372" w:rsidRPr="008B2372">
        <w:rPr>
          <w:rFonts w:asciiTheme="minorHAnsi" w:hAnsiTheme="minorHAnsi"/>
          <w:bCs/>
        </w:rPr>
        <w:t xml:space="preserve"> Praktykujący nauczyciel edukacji wczesnoszko</w:t>
      </w:r>
      <w:r w:rsidR="008B2372">
        <w:rPr>
          <w:rFonts w:asciiTheme="minorHAnsi" w:hAnsiTheme="minorHAnsi"/>
          <w:bCs/>
        </w:rPr>
        <w:t>lnej z 3</w:t>
      </w:r>
      <w:r w:rsidR="0076337F">
        <w:rPr>
          <w:rFonts w:asciiTheme="minorHAnsi" w:hAnsiTheme="minorHAnsi"/>
          <w:bCs/>
        </w:rPr>
        <w:t>4</w:t>
      </w:r>
      <w:r w:rsidR="008B2372">
        <w:rPr>
          <w:rFonts w:asciiTheme="minorHAnsi" w:hAnsiTheme="minorHAnsi"/>
          <w:bCs/>
        </w:rPr>
        <w:t xml:space="preserve">-letnim stażem pracy. </w:t>
      </w:r>
      <w:r w:rsidR="008B2372" w:rsidRPr="008B2372">
        <w:rPr>
          <w:rFonts w:asciiTheme="minorHAnsi" w:hAnsiTheme="minorHAnsi"/>
          <w:bCs/>
        </w:rPr>
        <w:t xml:space="preserve">Lider Wewnątrzszkolnego Doskonalenia Nauczycieli. Szkolny Organizator Rozwoju Edukacji. Certyfikowany </w:t>
      </w:r>
      <w:proofErr w:type="spellStart"/>
      <w:r w:rsidR="008B2372" w:rsidRPr="008B2372">
        <w:rPr>
          <w:rFonts w:asciiTheme="minorHAnsi" w:hAnsiTheme="minorHAnsi"/>
          <w:bCs/>
        </w:rPr>
        <w:t>coach</w:t>
      </w:r>
      <w:proofErr w:type="spellEnd"/>
      <w:r w:rsidR="008B2372" w:rsidRPr="008B2372">
        <w:rPr>
          <w:rFonts w:asciiTheme="minorHAnsi" w:hAnsiTheme="minorHAnsi"/>
          <w:bCs/>
        </w:rPr>
        <w:t xml:space="preserve"> pomagający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F24DF3" w:rsidRPr="0060561E" w:rsidRDefault="00F24DF3" w:rsidP="002876DC">
      <w:pPr>
        <w:jc w:val="both"/>
        <w:rPr>
          <w:sz w:val="12"/>
          <w:szCs w:val="12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6337F">
        <w:rPr>
          <w:rFonts w:ascii="Calibri" w:hAnsi="Calibri" w:cs="Calibri"/>
          <w:b/>
          <w:bCs/>
          <w:color w:val="C00000"/>
        </w:rPr>
        <w:t>16.10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6A602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6A6027">
        <w:rPr>
          <w:rFonts w:ascii="Calibri" w:hAnsi="Calibri" w:cs="Calibri"/>
          <w:b/>
        </w:rPr>
        <w:t>bezpłatnie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6A6027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6A602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6A6027">
        <w:rPr>
          <w:rFonts w:ascii="Calibri" w:hAnsi="Calibri" w:cs="Calibri"/>
          <w:b/>
        </w:rPr>
        <w:t>100</w:t>
      </w:r>
      <w:r w:rsidRPr="006A6027">
        <w:rPr>
          <w:rFonts w:ascii="Calibri" w:hAnsi="Calibri" w:cs="Calibri"/>
          <w:b/>
        </w:rPr>
        <w:t xml:space="preserve"> zł</w:t>
      </w:r>
    </w:p>
    <w:p w:rsidR="00FB4665" w:rsidRPr="006A6027" w:rsidRDefault="006A6027" w:rsidP="006A6027">
      <w:pPr>
        <w:spacing w:after="240"/>
        <w:ind w:left="360" w:hanging="3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3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C0" w:rsidRDefault="00E404C0" w:rsidP="0074050A">
      <w:r>
        <w:separator/>
      </w:r>
    </w:p>
  </w:endnote>
  <w:endnote w:type="continuationSeparator" w:id="0">
    <w:p w:rsidR="00E404C0" w:rsidRDefault="00E404C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C0" w:rsidRDefault="00E404C0" w:rsidP="0074050A">
      <w:r>
        <w:separator/>
      </w:r>
    </w:p>
  </w:footnote>
  <w:footnote w:type="continuationSeparator" w:id="0">
    <w:p w:rsidR="00E404C0" w:rsidRDefault="00E404C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05B96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B1F5-033D-4E6A-BB5D-1B9070EB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2018-03-07T14:16:00Z</cp:lastPrinted>
  <dcterms:created xsi:type="dcterms:W3CDTF">2019-09-13T11:29:00Z</dcterms:created>
  <dcterms:modified xsi:type="dcterms:W3CDTF">2019-09-13T11:29:00Z</dcterms:modified>
</cp:coreProperties>
</file>