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371643">
        <w:rPr>
          <w:rFonts w:ascii="Calibri" w:hAnsi="Calibri" w:cs="Calibri"/>
          <w:b/>
          <w:sz w:val="40"/>
          <w:szCs w:val="40"/>
        </w:rPr>
        <w:t>KURS DOSKONALĄCY</w:t>
      </w:r>
      <w:r w:rsidR="00FF3847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133985</wp:posOffset>
                </wp:positionV>
                <wp:extent cx="6724650" cy="9239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23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C44081" w:rsidP="00C44081">
                            <w:pPr>
                              <w:jc w:val="center"/>
                            </w:pPr>
                            <w:r w:rsidRPr="00C4408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Zastosowanie Międzynarodowej Klasyfikacji Funkcjonowania, Niepełnosprawności i Zdrowia (ICF-CY) w praktyce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55pt;width:529.5pt;height:7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" fillcolor="#c00000" stroked="f">
                <v:textbox>
                  <w:txbxContent>
                    <w:p w:rsidR="00C51723" w:rsidRDefault="00C44081" w:rsidP="00C44081">
                      <w:pPr>
                        <w:jc w:val="center"/>
                      </w:pPr>
                      <w:r w:rsidRPr="00C4408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Zastosowanie Międzynarodowej Klasyfikacji Funkcjonowania, Niepełnosprawności i Zdrowia (ICF-CY) w praktyce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44081" w:rsidRDefault="00C44081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44081">
        <w:rPr>
          <w:rFonts w:asciiTheme="minorHAnsi" w:hAnsiTheme="minorHAnsi" w:cs="Calibri"/>
          <w:b/>
        </w:rPr>
        <w:t>48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C51723" w:rsidRDefault="009273AC" w:rsidP="00C44081">
      <w:pPr>
        <w:rPr>
          <w:rFonts w:asciiTheme="minorHAnsi" w:hAnsiTheme="minorHAnsi" w:cs="Calibri"/>
          <w:b/>
          <w:i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44081" w:rsidRPr="00C44081">
        <w:rPr>
          <w:rFonts w:asciiTheme="minorHAnsi" w:hAnsiTheme="minorHAnsi" w:cs="Calibri"/>
          <w:b/>
        </w:rPr>
        <w:t>Pedagodzy i psycholodzy, specjaliści z zakresu oligofrenopedagogiki i pedagogiki specjalnej</w:t>
      </w:r>
      <w:r w:rsidR="00C44081">
        <w:rPr>
          <w:rFonts w:asciiTheme="minorHAnsi" w:hAnsiTheme="minorHAnsi" w:cs="Calibri"/>
          <w:b/>
        </w:rPr>
        <w:t>.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C44081" w:rsidRPr="00C44081" w:rsidRDefault="009273AC" w:rsidP="00C44081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44081">
        <w:rPr>
          <w:rFonts w:asciiTheme="minorHAnsi" w:hAnsiTheme="minorHAnsi" w:cs="Calibri"/>
        </w:rPr>
        <w:t xml:space="preserve"> </w:t>
      </w:r>
      <w:r w:rsidR="00C44081" w:rsidRPr="00C44081">
        <w:rPr>
          <w:rFonts w:asciiTheme="minorHAnsi" w:hAnsiTheme="minorHAnsi" w:cs="Calibri"/>
        </w:rPr>
        <w:t xml:space="preserve">Wyposażenie uczestników szkolenia w praktyczne umiejętności korzystania z Klasyfikacji, w tym wyszukiwania kategorii w odpowiednich częściach i składnikach Klasyfikacji. </w:t>
      </w:r>
    </w:p>
    <w:p w:rsidR="00C44081" w:rsidRPr="00C44081" w:rsidRDefault="00C44081" w:rsidP="00C44081">
      <w:pPr>
        <w:ind w:left="851"/>
        <w:jc w:val="both"/>
        <w:rPr>
          <w:rFonts w:asciiTheme="minorHAnsi" w:hAnsiTheme="minorHAnsi" w:cs="Calibri"/>
        </w:rPr>
      </w:pPr>
      <w:r w:rsidRPr="00C44081">
        <w:rPr>
          <w:rFonts w:asciiTheme="minorHAnsi" w:hAnsiTheme="minorHAnsi" w:cs="Calibri"/>
        </w:rPr>
        <w:t>Wyposażenie uczestników szkolenia w praktyczne umiejętności kodowania informacji przy użyciu kwalifikatorów.</w:t>
      </w:r>
    </w:p>
    <w:p w:rsidR="0051457C" w:rsidRPr="00C51723" w:rsidRDefault="00C44081" w:rsidP="00C44081">
      <w:pPr>
        <w:ind w:left="851"/>
        <w:jc w:val="both"/>
        <w:rPr>
          <w:rFonts w:asciiTheme="minorHAnsi" w:hAnsiTheme="minorHAnsi" w:cs="Calibri"/>
        </w:rPr>
      </w:pPr>
      <w:r w:rsidRPr="00C44081">
        <w:rPr>
          <w:rFonts w:asciiTheme="minorHAnsi" w:hAnsiTheme="minorHAnsi" w:cs="Calibri"/>
        </w:rPr>
        <w:t>Wyposażenie uczestników szkolenia w wiedzę z zakresu zastosowania Klasyfikacji ICF w praktyce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C44081" w:rsidRDefault="000A3E89" w:rsidP="00C4408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sz w:val="22"/>
          <w:szCs w:val="22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  <w:r w:rsidR="00C44081">
        <w:rPr>
          <w:rFonts w:asciiTheme="minorHAnsi" w:hAnsiTheme="minorHAnsi"/>
          <w:b/>
          <w:sz w:val="28"/>
          <w:u w:val="single"/>
        </w:rPr>
        <w:t xml:space="preserve"> </w:t>
      </w:r>
      <w:r w:rsidR="00BA6AE4" w:rsidRPr="00BA6AE4">
        <w:rPr>
          <w:sz w:val="22"/>
          <w:szCs w:val="22"/>
        </w:rPr>
        <w:t xml:space="preserve"> </w:t>
      </w:r>
    </w:p>
    <w:p w:rsidR="005D1AB0" w:rsidRPr="00C44081" w:rsidRDefault="00C44081" w:rsidP="00C4408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</w:rPr>
        <w:t xml:space="preserve">• </w:t>
      </w:r>
      <w:r w:rsidR="003908FF">
        <w:rPr>
          <w:rFonts w:asciiTheme="minorHAnsi" w:hAnsiTheme="minorHAnsi"/>
        </w:rPr>
        <w:t xml:space="preserve">Zintegrowany </w:t>
      </w:r>
      <w:proofErr w:type="spellStart"/>
      <w:r w:rsidR="003908FF">
        <w:rPr>
          <w:rFonts w:asciiTheme="minorHAnsi" w:hAnsiTheme="minorHAnsi"/>
        </w:rPr>
        <w:t>biopsycho</w:t>
      </w:r>
      <w:r w:rsidRPr="00C44081">
        <w:rPr>
          <w:rFonts w:asciiTheme="minorHAnsi" w:hAnsiTheme="minorHAnsi"/>
        </w:rPr>
        <w:t>społeczny</w:t>
      </w:r>
      <w:proofErr w:type="spellEnd"/>
      <w:r w:rsidRPr="00C44081">
        <w:rPr>
          <w:rFonts w:asciiTheme="minorHAnsi" w:hAnsiTheme="minorHAnsi"/>
        </w:rPr>
        <w:t xml:space="preserve"> model funkcjonowani</w:t>
      </w:r>
      <w:r>
        <w:rPr>
          <w:rFonts w:asciiTheme="minorHAnsi" w:hAnsiTheme="minorHAnsi"/>
        </w:rPr>
        <w:t xml:space="preserve">a </w:t>
      </w:r>
      <w:bookmarkStart w:id="13" w:name="_GoBack"/>
      <w:r>
        <w:rPr>
          <w:rFonts w:asciiTheme="minorHAnsi" w:hAnsiTheme="minorHAnsi"/>
        </w:rPr>
        <w:t xml:space="preserve">i niepełnosprawności • </w:t>
      </w:r>
      <w:r w:rsidRPr="00C44081">
        <w:rPr>
          <w:rFonts w:asciiTheme="minorHAnsi" w:hAnsiTheme="minorHAnsi"/>
        </w:rPr>
        <w:t>Strukt</w:t>
      </w:r>
      <w:r>
        <w:rPr>
          <w:rFonts w:asciiTheme="minorHAnsi" w:hAnsiTheme="minorHAnsi"/>
        </w:rPr>
        <w:t xml:space="preserve">ura i kody klasyfikacji ICF • </w:t>
      </w:r>
      <w:r w:rsidRPr="00C44081">
        <w:rPr>
          <w:rFonts w:asciiTheme="minorHAnsi" w:hAnsiTheme="minorHAnsi"/>
        </w:rPr>
        <w:t>Kodowanie za p</w:t>
      </w:r>
      <w:r>
        <w:rPr>
          <w:rFonts w:asciiTheme="minorHAnsi" w:hAnsiTheme="minorHAnsi"/>
        </w:rPr>
        <w:t>omocą ICF: kwalifikatory ICF •</w:t>
      </w:r>
      <w:bookmarkEnd w:id="13"/>
      <w:r>
        <w:rPr>
          <w:rFonts w:asciiTheme="minorHAnsi" w:hAnsiTheme="minorHAnsi"/>
        </w:rPr>
        <w:t xml:space="preserve"> </w:t>
      </w:r>
      <w:r w:rsidRPr="00C44081">
        <w:rPr>
          <w:rFonts w:asciiTheme="minorHAnsi" w:hAnsiTheme="minorHAnsi"/>
        </w:rPr>
        <w:t xml:space="preserve">Analiza zależności pomiędzy Środowiskiem (E) </w:t>
      </w:r>
      <w:r>
        <w:rPr>
          <w:rFonts w:asciiTheme="minorHAnsi" w:hAnsiTheme="minorHAnsi"/>
        </w:rPr>
        <w:t xml:space="preserve">a aktywnością (D) • </w:t>
      </w:r>
      <w:r w:rsidRPr="00C44081">
        <w:rPr>
          <w:rFonts w:asciiTheme="minorHAnsi" w:hAnsiTheme="minorHAnsi"/>
        </w:rPr>
        <w:t>Potrzeba oraz cele ICF. Opis funkcjonowania osoby z nie</w:t>
      </w:r>
      <w:r>
        <w:rPr>
          <w:rFonts w:asciiTheme="minorHAnsi" w:hAnsiTheme="minorHAnsi"/>
        </w:rPr>
        <w:t>pełnosprawnością z wykorzystaniem Klasyfikacji ICF</w:t>
      </w:r>
      <w:r w:rsidRPr="00C4408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• </w:t>
      </w:r>
      <w:r w:rsidRPr="00C44081">
        <w:rPr>
          <w:rFonts w:asciiTheme="minorHAnsi" w:hAnsiTheme="minorHAnsi"/>
        </w:rPr>
        <w:t>Profil kategorialny jako narzędzie opisu funkc</w:t>
      </w:r>
      <w:r>
        <w:rPr>
          <w:rFonts w:asciiTheme="minorHAnsi" w:hAnsiTheme="minorHAnsi"/>
        </w:rPr>
        <w:t>jonowania. Przykłady praktyczne</w:t>
      </w:r>
      <w:r w:rsidRPr="00C4408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• </w:t>
      </w:r>
      <w:r w:rsidRPr="00C44081">
        <w:rPr>
          <w:rFonts w:asciiTheme="minorHAnsi" w:hAnsiTheme="minorHAnsi"/>
        </w:rPr>
        <w:t>Zastosowanie kl</w:t>
      </w:r>
      <w:r>
        <w:rPr>
          <w:rFonts w:asciiTheme="minorHAnsi" w:hAnsiTheme="minorHAnsi"/>
        </w:rPr>
        <w:t>asyfikacji  w systemie edukacji</w:t>
      </w:r>
    </w:p>
    <w:p w:rsidR="00C75A20" w:rsidRDefault="00C75A2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44081">
        <w:rPr>
          <w:rFonts w:asciiTheme="minorHAnsi" w:hAnsiTheme="minorHAnsi" w:cs="Calibri"/>
          <w:b/>
        </w:rPr>
        <w:t>08.12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C44081">
        <w:rPr>
          <w:rFonts w:asciiTheme="minorHAnsi" w:hAnsiTheme="minorHAnsi" w:cs="Calibri"/>
          <w:b/>
        </w:rPr>
        <w:t>9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</w:p>
    <w:p w:rsidR="00C44081" w:rsidRDefault="00E42B54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</w:t>
      </w:r>
      <w:r w:rsidR="00C44081">
        <w:rPr>
          <w:rFonts w:asciiTheme="minorHAnsi" w:hAnsiTheme="minorHAnsi" w:cs="Calibri"/>
          <w:b/>
        </w:rPr>
        <w:t>09.12</w:t>
      </w:r>
      <w:r>
        <w:rPr>
          <w:rFonts w:asciiTheme="minorHAnsi" w:hAnsiTheme="minorHAnsi" w:cs="Calibri"/>
          <w:b/>
        </w:rPr>
        <w:t xml:space="preserve">.2018 r.      godz. </w:t>
      </w:r>
      <w:r w:rsidR="00C44081">
        <w:rPr>
          <w:rFonts w:asciiTheme="minorHAnsi" w:hAnsiTheme="minorHAnsi" w:cs="Calibri"/>
          <w:b/>
        </w:rPr>
        <w:t>9</w:t>
      </w:r>
      <w:r>
        <w:rPr>
          <w:rFonts w:asciiTheme="minorHAnsi" w:hAnsiTheme="minorHAnsi" w:cs="Calibri"/>
          <w:b/>
        </w:rPr>
        <w:t>:00</w:t>
      </w:r>
      <w:r w:rsidR="00C44081">
        <w:rPr>
          <w:rFonts w:asciiTheme="minorHAnsi" w:hAnsiTheme="minorHAnsi" w:cs="Calibri"/>
          <w:b/>
        </w:rPr>
        <w:t xml:space="preserve"> </w:t>
      </w:r>
    </w:p>
    <w:p w:rsidR="000A3E89" w:rsidRPr="00FF3847" w:rsidRDefault="00C44081" w:rsidP="00C44081">
      <w:pPr>
        <w:autoSpaceDE w:val="0"/>
        <w:autoSpaceDN w:val="0"/>
        <w:adjustRightInd w:val="0"/>
        <w:ind w:left="1416" w:firstLine="708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</w:t>
      </w:r>
      <w:r w:rsidRPr="00C44081">
        <w:rPr>
          <w:rFonts w:asciiTheme="minorHAnsi" w:hAnsiTheme="minorHAnsi" w:cs="Calibri"/>
          <w:b/>
        </w:rPr>
        <w:t>UWAGA! sobota, niedziela</w:t>
      </w:r>
      <w:r w:rsidR="009E1F89" w:rsidRPr="009E1F89">
        <w:rPr>
          <w:rFonts w:asciiTheme="minorHAnsi" w:hAnsiTheme="minorHAnsi" w:cs="Calibri"/>
          <w:b/>
        </w:rPr>
        <w:br/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42B54" w:rsidRPr="00FF3847">
        <w:rPr>
          <w:rFonts w:ascii="Calibri" w:hAnsi="Calibri" w:cs="Calibri"/>
          <w:bCs/>
        </w:rPr>
        <w:t>1</w:t>
      </w:r>
      <w:r w:rsidR="00C44081">
        <w:rPr>
          <w:rFonts w:ascii="Calibri" w:hAnsi="Calibri" w:cs="Calibri"/>
          <w:bCs/>
        </w:rPr>
        <w:t>6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dydaktycznych</w:t>
      </w:r>
      <w:r w:rsidR="00371643" w:rsidRPr="00FF3847">
        <w:rPr>
          <w:rFonts w:ascii="Calibri" w:hAnsi="Calibri" w:cs="Calibri"/>
          <w:bCs/>
        </w:rPr>
        <w:t xml:space="preserve"> </w:t>
      </w:r>
      <w:r w:rsidR="00E42B54" w:rsidRPr="00FF3847">
        <w:rPr>
          <w:rFonts w:ascii="Calibri" w:hAnsi="Calibri" w:cs="Calibri"/>
        </w:rPr>
        <w:t>(</w:t>
      </w:r>
      <w:r w:rsidR="00C44081">
        <w:rPr>
          <w:rFonts w:ascii="Calibri" w:hAnsi="Calibri" w:cs="Calibri"/>
        </w:rPr>
        <w:t xml:space="preserve">2 spotkania x 8 godz. </w:t>
      </w:r>
      <w:proofErr w:type="spellStart"/>
      <w:r w:rsidR="00C44081">
        <w:rPr>
          <w:rFonts w:ascii="Calibri" w:hAnsi="Calibri" w:cs="Calibri"/>
        </w:rPr>
        <w:t>dyd</w:t>
      </w:r>
      <w:proofErr w:type="spellEnd"/>
      <w:r w:rsidR="00C44081">
        <w:rPr>
          <w:rFonts w:ascii="Calibri" w:hAnsi="Calibri" w:cs="Calibri"/>
        </w:rPr>
        <w:t>.</w:t>
      </w:r>
      <w:r w:rsidR="00E42B54" w:rsidRPr="00FF3847">
        <w:rPr>
          <w:rFonts w:ascii="Calibri" w:hAnsi="Calibri" w:cs="Calibri"/>
        </w:rPr>
        <w:t>)</w:t>
      </w:r>
      <w:r w:rsidR="00C44081">
        <w:rPr>
          <w:rFonts w:ascii="Calibri" w:hAnsi="Calibri" w:cs="Calibri"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E5C3E" w:rsidRDefault="00291D43" w:rsidP="003908FF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44081" w:rsidRPr="00C44081">
        <w:rPr>
          <w:rFonts w:ascii="Calibri" w:hAnsi="Calibri" w:cs="Calibri"/>
          <w:b/>
        </w:rPr>
        <w:t>Monika Zakrzewska</w:t>
      </w:r>
      <w:r w:rsidR="00C44081">
        <w:rPr>
          <w:rFonts w:ascii="Calibri" w:hAnsi="Calibri" w:cs="Calibri"/>
          <w:b/>
        </w:rPr>
        <w:t xml:space="preserve"> </w:t>
      </w:r>
      <w:r w:rsidR="00C44081">
        <w:rPr>
          <w:rFonts w:ascii="Calibri" w:hAnsi="Calibri" w:cs="Calibri"/>
        </w:rPr>
        <w:t>–</w:t>
      </w:r>
      <w:r w:rsidR="00E42B54" w:rsidRPr="00E42B54">
        <w:rPr>
          <w:rFonts w:ascii="Calibri" w:hAnsi="Calibri" w:cs="Calibri"/>
        </w:rPr>
        <w:t xml:space="preserve"> </w:t>
      </w:r>
      <w:r w:rsidR="00CE5C3E" w:rsidRPr="0099692C">
        <w:rPr>
          <w:rFonts w:ascii="Calibri" w:hAnsi="Calibri" w:cs="Calibri"/>
          <w:u w:val="single"/>
        </w:rPr>
        <w:t>ekspert w składzie Zespołu do spraw opracowania modelu kształcenia uczniów ze specjalnymi potrzebami edukacyjnymi, działającego przy MEN</w:t>
      </w:r>
      <w:r w:rsidR="00CE5C3E">
        <w:rPr>
          <w:rFonts w:ascii="Calibri" w:hAnsi="Calibri" w:cs="Calibri"/>
        </w:rPr>
        <w:t xml:space="preserve">, </w:t>
      </w:r>
      <w:r w:rsidR="00C44081" w:rsidRPr="00C44081">
        <w:rPr>
          <w:rFonts w:ascii="Calibri" w:hAnsi="Calibri" w:cs="Calibri"/>
        </w:rPr>
        <w:t xml:space="preserve">socjolog,  trener  biznesu,  doradca  planowania  kariery  osób  z </w:t>
      </w:r>
      <w:r w:rsidR="003908FF">
        <w:rPr>
          <w:rFonts w:ascii="Calibri" w:hAnsi="Calibri" w:cs="Calibri"/>
        </w:rPr>
        <w:t> </w:t>
      </w:r>
      <w:r w:rsidR="00C44081" w:rsidRPr="00C44081">
        <w:rPr>
          <w:rFonts w:ascii="Calibri" w:hAnsi="Calibri" w:cs="Calibri"/>
        </w:rPr>
        <w:t>niepełnosprawnościami.  Od  2004  r.  pracuje  dla  PS</w:t>
      </w:r>
      <w:r w:rsidR="003908FF">
        <w:rPr>
          <w:rFonts w:ascii="Calibri" w:hAnsi="Calibri" w:cs="Calibri"/>
        </w:rPr>
        <w:t xml:space="preserve">OUU  oraz  innych  organizacji pozarządowych </w:t>
      </w:r>
      <w:r w:rsidR="00C44081" w:rsidRPr="00C44081">
        <w:rPr>
          <w:rFonts w:ascii="Calibri" w:hAnsi="Calibri" w:cs="Calibri"/>
        </w:rPr>
        <w:t>działających  w  obsza</w:t>
      </w:r>
      <w:r w:rsidR="003908FF">
        <w:rPr>
          <w:rFonts w:ascii="Calibri" w:hAnsi="Calibri" w:cs="Calibri"/>
        </w:rPr>
        <w:t xml:space="preserve">rze  wykluczenia  społecznego. Koordynatorka  wielu krajowych i ponadnarodowych   projektów </w:t>
      </w:r>
      <w:r w:rsidR="00C44081" w:rsidRPr="00C44081">
        <w:rPr>
          <w:rFonts w:ascii="Calibri" w:hAnsi="Calibri" w:cs="Calibri"/>
        </w:rPr>
        <w:t>edu</w:t>
      </w:r>
      <w:r w:rsidR="003908FF">
        <w:rPr>
          <w:rFonts w:ascii="Calibri" w:hAnsi="Calibri" w:cs="Calibri"/>
        </w:rPr>
        <w:t xml:space="preserve">kacyjnych,   szkoleniowych i </w:t>
      </w:r>
      <w:r w:rsidR="00C44081" w:rsidRPr="00C44081">
        <w:rPr>
          <w:rFonts w:ascii="Calibri" w:hAnsi="Calibri" w:cs="Calibri"/>
        </w:rPr>
        <w:t>prozatrudn</w:t>
      </w:r>
      <w:r w:rsidR="003908FF">
        <w:rPr>
          <w:rFonts w:ascii="Calibri" w:hAnsi="Calibri" w:cs="Calibri"/>
        </w:rPr>
        <w:t xml:space="preserve">ieniowych,    w  tym  projektów: „Conversion”(programu  Komisji Europejskiej  w </w:t>
      </w:r>
      <w:r w:rsidR="00C44081" w:rsidRPr="00C44081">
        <w:rPr>
          <w:rFonts w:ascii="Calibri" w:hAnsi="Calibri" w:cs="Calibri"/>
        </w:rPr>
        <w:t xml:space="preserve">ramach </w:t>
      </w:r>
      <w:r w:rsidR="003908FF">
        <w:rPr>
          <w:rFonts w:ascii="Calibri" w:hAnsi="Calibri" w:cs="Calibri"/>
        </w:rPr>
        <w:t>inicjatywy „Leonardo da Vinci”), „Centrum Doradztwa Zawodowego i Wspierania Osób Niepełnosprawnych  Intelektualnie  Centrum  DZWONI”, „</w:t>
      </w:r>
      <w:r w:rsidR="00C44081" w:rsidRPr="00C44081">
        <w:rPr>
          <w:rFonts w:ascii="Calibri" w:hAnsi="Calibri" w:cs="Calibri"/>
        </w:rPr>
        <w:t xml:space="preserve">Modernizacja </w:t>
      </w:r>
      <w:r w:rsidR="003908FF">
        <w:rPr>
          <w:rFonts w:ascii="Calibri" w:hAnsi="Calibri" w:cs="Calibri"/>
        </w:rPr>
        <w:t xml:space="preserve">    programu </w:t>
      </w:r>
      <w:r w:rsidR="00C44081" w:rsidRPr="00C44081">
        <w:rPr>
          <w:rFonts w:ascii="Calibri" w:hAnsi="Calibri" w:cs="Calibri"/>
        </w:rPr>
        <w:t>przysposobienia do pracy dla uczniów ze spec</w:t>
      </w:r>
      <w:r w:rsidR="003908FF">
        <w:rPr>
          <w:rFonts w:ascii="Calibri" w:hAnsi="Calibri" w:cs="Calibri"/>
        </w:rPr>
        <w:t xml:space="preserve">jalnymi potrzebami edukacyjnymi”, Trener pracy jako  sposób na </w:t>
      </w:r>
      <w:r w:rsidR="00C44081" w:rsidRPr="00C44081">
        <w:rPr>
          <w:rFonts w:ascii="Calibri" w:hAnsi="Calibri" w:cs="Calibri"/>
        </w:rPr>
        <w:t>zwiększenie  zatrud</w:t>
      </w:r>
      <w:r w:rsidR="003908FF">
        <w:rPr>
          <w:rFonts w:ascii="Calibri" w:hAnsi="Calibri" w:cs="Calibri"/>
        </w:rPr>
        <w:t xml:space="preserve">nienia  osób  niepełnosprawnych”  itp. Współautorka </w:t>
      </w:r>
      <w:r w:rsidR="00C44081" w:rsidRPr="00C44081">
        <w:rPr>
          <w:rFonts w:ascii="Calibri" w:hAnsi="Calibri" w:cs="Calibri"/>
        </w:rPr>
        <w:t>rekomendacji  do  z</w:t>
      </w:r>
      <w:r w:rsidR="003908FF">
        <w:rPr>
          <w:rFonts w:ascii="Calibri" w:hAnsi="Calibri" w:cs="Calibri"/>
        </w:rPr>
        <w:t xml:space="preserve">mian  systemowych  w  zakresie </w:t>
      </w:r>
      <w:r w:rsidR="00C44081" w:rsidRPr="00C44081">
        <w:rPr>
          <w:rFonts w:ascii="Calibri" w:hAnsi="Calibri" w:cs="Calibri"/>
        </w:rPr>
        <w:t>funkcjono</w:t>
      </w:r>
      <w:r w:rsidR="003908FF">
        <w:rPr>
          <w:rFonts w:ascii="Calibri" w:hAnsi="Calibri" w:cs="Calibri"/>
        </w:rPr>
        <w:t xml:space="preserve">wania  usługi  trenera  pracy, </w:t>
      </w:r>
      <w:r w:rsidR="00C44081" w:rsidRPr="00C44081">
        <w:rPr>
          <w:rFonts w:ascii="Calibri" w:hAnsi="Calibri" w:cs="Calibri"/>
        </w:rPr>
        <w:t>modernizacji  programu  przysposo</w:t>
      </w:r>
      <w:r w:rsidR="003908FF">
        <w:rPr>
          <w:rFonts w:ascii="Calibri" w:hAnsi="Calibri" w:cs="Calibri"/>
        </w:rPr>
        <w:t xml:space="preserve">bienia  do  pracy  uczniów  ze specjalnymi  potrzebami </w:t>
      </w:r>
      <w:r w:rsidR="00C44081" w:rsidRPr="00C44081">
        <w:rPr>
          <w:rFonts w:ascii="Calibri" w:hAnsi="Calibri" w:cs="Calibri"/>
        </w:rPr>
        <w:t xml:space="preserve">edukacyjnymi;  odpowiedzialna  za  </w:t>
      </w:r>
    </w:p>
    <w:p w:rsidR="00CE5C3E" w:rsidRDefault="00CE5C3E" w:rsidP="003908FF">
      <w:pPr>
        <w:jc w:val="both"/>
        <w:rPr>
          <w:rFonts w:ascii="Calibri" w:hAnsi="Calibri" w:cs="Calibri"/>
        </w:rPr>
      </w:pPr>
    </w:p>
    <w:p w:rsidR="00CE5C3E" w:rsidRDefault="00CE5C3E" w:rsidP="003908FF">
      <w:pPr>
        <w:jc w:val="both"/>
        <w:rPr>
          <w:rFonts w:ascii="Calibri" w:hAnsi="Calibri" w:cs="Calibri"/>
        </w:rPr>
      </w:pPr>
    </w:p>
    <w:p w:rsidR="00F206BF" w:rsidRDefault="00C44081" w:rsidP="003908FF">
      <w:pPr>
        <w:jc w:val="both"/>
        <w:rPr>
          <w:rFonts w:ascii="Calibri" w:hAnsi="Calibri" w:cs="Calibri"/>
        </w:rPr>
      </w:pPr>
      <w:r w:rsidRPr="00C44081">
        <w:rPr>
          <w:rFonts w:ascii="Calibri" w:hAnsi="Calibri" w:cs="Calibri"/>
        </w:rPr>
        <w:t>wdrożenie  do  Międzynarodowej  Klasyfikacji Funkcjonowania, Niepełnosprawności i Zdrowia ICF do działań aktywizujących dorosłe osoby z  NI  w  Centrach  Doradztwa  Zawodowego  i  Wspierania</w:t>
      </w:r>
      <w:r w:rsidR="00CE5C3E">
        <w:rPr>
          <w:rFonts w:ascii="Calibri" w:hAnsi="Calibri" w:cs="Calibri"/>
        </w:rPr>
        <w:t xml:space="preserve">  Osób  z  </w:t>
      </w:r>
      <w:r w:rsidR="003908FF">
        <w:rPr>
          <w:rFonts w:ascii="Calibri" w:hAnsi="Calibri" w:cs="Calibri"/>
        </w:rPr>
        <w:t xml:space="preserve">Niepełnosprawnością Intelektualną. Autorka  i  współautorka </w:t>
      </w:r>
      <w:r w:rsidRPr="00C44081">
        <w:rPr>
          <w:rFonts w:ascii="Calibri" w:hAnsi="Calibri" w:cs="Calibri"/>
        </w:rPr>
        <w:t>książek,  raportów  i  artykułów  dot.  ry</w:t>
      </w:r>
      <w:r w:rsidR="003908FF">
        <w:rPr>
          <w:rFonts w:ascii="Calibri" w:hAnsi="Calibri" w:cs="Calibri"/>
        </w:rPr>
        <w:t>nku  pracy  dla  osób  z </w:t>
      </w:r>
      <w:r w:rsidRPr="00C44081">
        <w:rPr>
          <w:rFonts w:ascii="Calibri" w:hAnsi="Calibri" w:cs="Calibri"/>
        </w:rPr>
        <w:t>niepełnosprawnością. Autorka i realizatorka szkoleń z zakresu</w:t>
      </w:r>
      <w:r w:rsidR="003908FF">
        <w:rPr>
          <w:rFonts w:ascii="Calibri" w:hAnsi="Calibri" w:cs="Calibri"/>
        </w:rPr>
        <w:t xml:space="preserve"> zatrudnienia wspomaganego dla </w:t>
      </w:r>
      <w:r w:rsidRPr="00C44081">
        <w:rPr>
          <w:rFonts w:ascii="Calibri" w:hAnsi="Calibri" w:cs="Calibri"/>
        </w:rPr>
        <w:t>pracowników  administracji  samorządowej,  instytucji  pomocy  i</w:t>
      </w:r>
      <w:r w:rsidR="003908FF">
        <w:rPr>
          <w:rFonts w:ascii="Calibri" w:hAnsi="Calibri" w:cs="Calibri"/>
        </w:rPr>
        <w:t xml:space="preserve">  integracji  społecznej  oraz  </w:t>
      </w:r>
      <w:r w:rsidRPr="00C44081">
        <w:rPr>
          <w:rFonts w:ascii="Calibri" w:hAnsi="Calibri" w:cs="Calibri"/>
        </w:rPr>
        <w:t xml:space="preserve">organizacji  pozarządowych.  Realizatorka  szkoleń  z </w:t>
      </w:r>
      <w:r w:rsidR="003908FF">
        <w:rPr>
          <w:rFonts w:ascii="Calibri" w:hAnsi="Calibri" w:cs="Calibri"/>
        </w:rPr>
        <w:t xml:space="preserve"> zakresu  ICF  m.in.  dla  pracowników  </w:t>
      </w:r>
      <w:r w:rsidRPr="00C44081">
        <w:rPr>
          <w:rFonts w:ascii="Calibri" w:hAnsi="Calibri" w:cs="Calibri"/>
        </w:rPr>
        <w:t>warsztatów terapii zajęciowej,</w:t>
      </w:r>
      <w:r w:rsidR="00A10A77">
        <w:rPr>
          <w:rFonts w:ascii="Calibri" w:hAnsi="Calibri" w:cs="Calibri"/>
        </w:rPr>
        <w:t xml:space="preserve"> nauczycieli szkół specjalnych. </w:t>
      </w:r>
      <w:r w:rsidR="003908FF">
        <w:rPr>
          <w:rFonts w:ascii="Calibri" w:hAnsi="Calibri" w:cs="Calibri"/>
        </w:rPr>
        <w:t>Od 2015 r. V-</w:t>
      </w:r>
      <w:r w:rsidRPr="00C44081">
        <w:rPr>
          <w:rFonts w:ascii="Calibri" w:hAnsi="Calibri" w:cs="Calibri"/>
        </w:rPr>
        <w:t>ce Prezes Polskiej Federacji Zatrudnienia Wspomaganego</w:t>
      </w:r>
      <w:r w:rsidR="00A10A77">
        <w:rPr>
          <w:rFonts w:ascii="Calibri" w:hAnsi="Calibri" w:cs="Calibri"/>
        </w:rPr>
        <w:t>.</w:t>
      </w:r>
    </w:p>
    <w:p w:rsidR="00C44081" w:rsidRDefault="00C44081" w:rsidP="001B1B4F">
      <w:pPr>
        <w:rPr>
          <w:rFonts w:ascii="Calibri" w:hAnsi="Calibri" w:cs="Calibri"/>
        </w:rPr>
      </w:pPr>
    </w:p>
    <w:p w:rsidR="00C44081" w:rsidRPr="00A10A77" w:rsidRDefault="00C44081" w:rsidP="001B1B4F">
      <w:pPr>
        <w:rPr>
          <w:rFonts w:ascii="Calibri" w:hAnsi="Calibri" w:cs="Calibri"/>
        </w:rPr>
      </w:pPr>
      <w:r w:rsidRPr="00C44081">
        <w:rPr>
          <w:rStyle w:val="Pogrubienie"/>
          <w:rFonts w:asciiTheme="minorHAnsi" w:hAnsiTheme="minorHAnsi"/>
          <w:bCs w:val="0"/>
          <w:color w:val="C00000"/>
          <w:sz w:val="26"/>
          <w:szCs w:val="26"/>
          <w:u w:val="single"/>
        </w:rPr>
        <w:t>Kierownik merytoryczny</w:t>
      </w:r>
      <w:r>
        <w:rPr>
          <w:bCs/>
          <w:szCs w:val="20"/>
        </w:rPr>
        <w:t xml:space="preserve"> – </w:t>
      </w:r>
      <w:r w:rsidRPr="00C44081">
        <w:rPr>
          <w:rFonts w:ascii="Calibri" w:hAnsi="Calibri" w:cs="Calibri"/>
          <w:b/>
        </w:rPr>
        <w:t>dr Lidia Sikora</w:t>
      </w:r>
      <w:r>
        <w:rPr>
          <w:bCs/>
          <w:szCs w:val="20"/>
        </w:rPr>
        <w:t xml:space="preserve"> – </w:t>
      </w:r>
      <w:r w:rsidRPr="00A10A77">
        <w:rPr>
          <w:rFonts w:ascii="Calibri" w:hAnsi="Calibri" w:cs="Calibri"/>
        </w:rPr>
        <w:t xml:space="preserve">doradca metodyczny </w:t>
      </w:r>
      <w:proofErr w:type="spellStart"/>
      <w:r w:rsidRPr="00A10A77">
        <w:rPr>
          <w:rFonts w:ascii="Calibri" w:hAnsi="Calibri" w:cs="Calibri"/>
        </w:rPr>
        <w:t>PCEiK</w:t>
      </w:r>
      <w:proofErr w:type="spellEnd"/>
      <w:r w:rsidRPr="00A10A77">
        <w:rPr>
          <w:rFonts w:ascii="Calibri" w:hAnsi="Calibri" w:cs="Calibri"/>
        </w:rPr>
        <w:t xml:space="preserve"> ds. pracy z uczniami o specjalnych potrzebach edukacyjnych. </w:t>
      </w:r>
    </w:p>
    <w:p w:rsidR="00CD2DB8" w:rsidRPr="005D1AB0" w:rsidRDefault="00CD2DB8" w:rsidP="001B1B4F">
      <w:pPr>
        <w:rPr>
          <w:sz w:val="22"/>
          <w:szCs w:val="18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44081">
        <w:rPr>
          <w:rFonts w:ascii="Calibri" w:hAnsi="Calibri" w:cs="Calibri"/>
          <w:b/>
          <w:bCs/>
          <w:color w:val="C00000"/>
        </w:rPr>
        <w:t>30.11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F56D50">
        <w:rPr>
          <w:rFonts w:ascii="Calibri" w:hAnsi="Calibri" w:cs="Calibri"/>
          <w:b/>
        </w:rPr>
        <w:t>200</w:t>
      </w:r>
      <w:r w:rsidR="00A10A77">
        <w:rPr>
          <w:rFonts w:ascii="Calibri" w:hAnsi="Calibri" w:cs="Calibri"/>
          <w:b/>
        </w:rPr>
        <w:t xml:space="preserve"> </w:t>
      </w:r>
      <w:r w:rsidR="00282E69" w:rsidRPr="00371643">
        <w:rPr>
          <w:rFonts w:ascii="Calibri" w:hAnsi="Calibri" w:cs="Calibri"/>
          <w:b/>
        </w:rPr>
        <w:t>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A10A77">
        <w:rPr>
          <w:rFonts w:ascii="Calibri" w:hAnsi="Calibri" w:cs="Calibri"/>
          <w:b/>
        </w:rPr>
        <w:t xml:space="preserve"> </w:t>
      </w:r>
      <w:r w:rsidR="00F56D50">
        <w:rPr>
          <w:rFonts w:ascii="Calibri" w:hAnsi="Calibri" w:cs="Calibri"/>
          <w:b/>
        </w:rPr>
        <w:t>400</w:t>
      </w:r>
      <w:r w:rsidR="00A10A77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>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EC" w:rsidRDefault="00EC7AEC" w:rsidP="0074050A">
      <w:r>
        <w:separator/>
      </w:r>
    </w:p>
  </w:endnote>
  <w:endnote w:type="continuationSeparator" w:id="0">
    <w:p w:rsidR="00EC7AEC" w:rsidRDefault="00EC7AE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EC" w:rsidRDefault="00EC7AEC" w:rsidP="0074050A">
      <w:r>
        <w:separator/>
      </w:r>
    </w:p>
  </w:footnote>
  <w:footnote w:type="continuationSeparator" w:id="0">
    <w:p w:rsidR="00EC7AEC" w:rsidRDefault="00EC7AE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08FF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086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692C"/>
    <w:rsid w:val="00997E3B"/>
    <w:rsid w:val="009B16FA"/>
    <w:rsid w:val="009B4B99"/>
    <w:rsid w:val="009C29BB"/>
    <w:rsid w:val="009E1F89"/>
    <w:rsid w:val="009F15FB"/>
    <w:rsid w:val="009F7E32"/>
    <w:rsid w:val="00A10A77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4081"/>
    <w:rsid w:val="00C465D9"/>
    <w:rsid w:val="00C5148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E5C3E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C7AEC"/>
    <w:rsid w:val="00ED50ED"/>
    <w:rsid w:val="00EF124B"/>
    <w:rsid w:val="00F073F2"/>
    <w:rsid w:val="00F206BF"/>
    <w:rsid w:val="00F303B1"/>
    <w:rsid w:val="00F402F6"/>
    <w:rsid w:val="00F40445"/>
    <w:rsid w:val="00F42D48"/>
    <w:rsid w:val="00F56D50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501D-F94D-4F99-8924-D456C8C7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9</cp:revision>
  <cp:lastPrinted>2018-10-02T11:24:00Z</cp:lastPrinted>
  <dcterms:created xsi:type="dcterms:W3CDTF">2018-08-21T10:34:00Z</dcterms:created>
  <dcterms:modified xsi:type="dcterms:W3CDTF">2018-10-02T13:39:00Z</dcterms:modified>
</cp:coreProperties>
</file>