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71195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D22EA8" w:rsidRDefault="00871195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87119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Elementy kinezjologii edukacyjnej –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</w:t>
                            </w:r>
                            <w:r w:rsidRPr="0087119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dukacja poprzez ruch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D22EA8" w:rsidRDefault="00871195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87119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Elementy kinezjologii edukacyjnej –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</w:t>
                      </w:r>
                      <w:r w:rsidRPr="0087119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dukacja poprzez ruch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B1AD6">
        <w:rPr>
          <w:rFonts w:asciiTheme="minorHAnsi" w:hAnsiTheme="minorHAnsi" w:cs="Calibri"/>
          <w:b/>
        </w:rPr>
        <w:t>3</w:t>
      </w:r>
      <w:r w:rsidR="00871195">
        <w:rPr>
          <w:rFonts w:asciiTheme="minorHAnsi" w:hAnsiTheme="minorHAnsi" w:cs="Calibri"/>
          <w:b/>
        </w:rPr>
        <w:t>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71195" w:rsidRPr="00871195">
        <w:rPr>
          <w:rFonts w:asciiTheme="minorHAnsi" w:hAnsiTheme="minorHAnsi" w:cs="Calibri"/>
          <w:b/>
        </w:rPr>
        <w:t>Nauczyciele wszystkich poziomów edukacji, pedagodzy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871195" w:rsidRPr="00871195">
        <w:rPr>
          <w:rFonts w:asciiTheme="minorHAnsi" w:hAnsiTheme="minorHAnsi" w:cs="Calibri"/>
        </w:rPr>
        <w:t>Celem szkolenia jest zdobycie wiedzy o kinezjologii eduka</w:t>
      </w:r>
      <w:r w:rsidR="00871195">
        <w:rPr>
          <w:rFonts w:asciiTheme="minorHAnsi" w:hAnsiTheme="minorHAnsi" w:cs="Calibri"/>
        </w:rPr>
        <w:t>cyjnej w zakresie podstawowym i </w:t>
      </w:r>
      <w:r w:rsidR="00871195" w:rsidRPr="00871195">
        <w:rPr>
          <w:rFonts w:asciiTheme="minorHAnsi" w:hAnsiTheme="minorHAnsi" w:cs="Calibri"/>
        </w:rPr>
        <w:t>umiejętności prowadzenia zajęć z wykorzystaniem ćwiczeń Gimnastyki Mózgu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871195" w:rsidRPr="00871195" w:rsidRDefault="00E3395C" w:rsidP="00871195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871195" w:rsidRPr="00871195">
        <w:rPr>
          <w:rFonts w:asciiTheme="minorHAnsi" w:hAnsiTheme="minorHAnsi"/>
        </w:rPr>
        <w:t xml:space="preserve">Gimnastyka umysłu jako metoda usprawniająca jego pracę, wspomagająca pamięć i koncentrację, </w:t>
      </w:r>
      <w:r w:rsidR="00871195">
        <w:rPr>
          <w:rFonts w:asciiTheme="minorHAnsi" w:hAnsiTheme="minorHAnsi"/>
        </w:rPr>
        <w:t xml:space="preserve">doskonaląca procesy uczenia się  ● </w:t>
      </w:r>
      <w:r w:rsidR="00871195" w:rsidRPr="00871195">
        <w:rPr>
          <w:rFonts w:asciiTheme="minorHAnsi" w:hAnsiTheme="minorHAnsi"/>
        </w:rPr>
        <w:t>Skuteczne metody pracy z dzieckiem – formy aktywności ruchowej</w:t>
      </w:r>
    </w:p>
    <w:p w:rsidR="00EA0E04" w:rsidRPr="00871195" w:rsidRDefault="00871195" w:rsidP="00871195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Pr="00871195">
        <w:rPr>
          <w:rFonts w:asciiTheme="minorHAnsi" w:hAnsiTheme="minorHAnsi"/>
        </w:rPr>
        <w:t>Kinezjologia edukacyjna w pracy z dziećmi ze specjalnymi potrzebami edukacyjnymi (m.in. trudności w nauce</w:t>
      </w:r>
      <w:r>
        <w:rPr>
          <w:rFonts w:asciiTheme="minorHAnsi" w:hAnsiTheme="minorHAnsi"/>
        </w:rPr>
        <w:t xml:space="preserve">, nadpobudliwość psychoruchowa)  ● </w:t>
      </w:r>
      <w:r w:rsidRPr="00871195">
        <w:rPr>
          <w:rFonts w:asciiTheme="minorHAnsi" w:hAnsiTheme="minorHAnsi"/>
        </w:rPr>
        <w:t>Praktyczne zastosowanie metody - ćwiczenia usprawniające koordynację motoryki ciała oraz aktywizujące sync</w:t>
      </w:r>
      <w:r>
        <w:rPr>
          <w:rFonts w:asciiTheme="minorHAnsi" w:hAnsiTheme="minorHAnsi"/>
        </w:rPr>
        <w:t xml:space="preserve">hronizację obu półkul mózgowych   ● </w:t>
      </w:r>
      <w:r w:rsidRPr="00871195">
        <w:rPr>
          <w:rFonts w:asciiTheme="minorHAnsi" w:hAnsiTheme="minorHAnsi"/>
        </w:rPr>
        <w:t>Malowanie muzyki</w:t>
      </w:r>
    </w:p>
    <w:p w:rsidR="00871195" w:rsidRDefault="00871195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22EA8">
        <w:rPr>
          <w:rFonts w:asciiTheme="minorHAnsi" w:hAnsiTheme="minorHAnsi" w:cs="Calibri"/>
          <w:b/>
        </w:rPr>
        <w:t>2</w:t>
      </w:r>
      <w:r w:rsidR="002B1AD6">
        <w:rPr>
          <w:rFonts w:asciiTheme="minorHAnsi" w:hAnsiTheme="minorHAnsi" w:cs="Calibri"/>
          <w:b/>
        </w:rPr>
        <w:t>2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15.</w:t>
      </w:r>
      <w:r w:rsidR="00871195">
        <w:rPr>
          <w:rFonts w:asciiTheme="minorHAnsi" w:hAnsiTheme="minorHAnsi" w:cs="Calibri"/>
          <w:b/>
        </w:rPr>
        <w:t>00</w:t>
      </w:r>
    </w:p>
    <w:p w:rsidR="000A3E89" w:rsidRPr="00562027" w:rsidRDefault="002B1AD6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871195">
        <w:rPr>
          <w:rFonts w:ascii="Calibri" w:hAnsi="Calibri" w:cs="Calibri"/>
          <w:bCs/>
        </w:rPr>
        <w:t>5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B1AD6">
        <w:rPr>
          <w:rFonts w:ascii="Calibri" w:hAnsi="Calibri" w:cs="Calibri"/>
          <w:bCs/>
        </w:rPr>
        <w:t>ych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22EA8" w:rsidRPr="00871195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871195" w:rsidRPr="00871195">
        <w:rPr>
          <w:rFonts w:ascii="Calibri" w:hAnsi="Calibri" w:cs="Calibri"/>
          <w:b/>
        </w:rPr>
        <w:t xml:space="preserve">Bożena Piotrowska </w:t>
      </w:r>
      <w:r w:rsidR="00871195" w:rsidRPr="00871195">
        <w:rPr>
          <w:rFonts w:ascii="Calibri" w:hAnsi="Calibri" w:cs="Calibri"/>
        </w:rPr>
        <w:t>- specjalistka z zakresu edukacji muzycznej, rytmiki, pedagogiki zabawy, muzykoterapii, metod aktywizujących, terapii pedagogicznej; animator stowarzyszenia KLANZA,  wykładowca akademicki</w:t>
      </w:r>
      <w:r w:rsidR="00871195">
        <w:rPr>
          <w:rFonts w:ascii="Calibri" w:hAnsi="Calibri" w:cs="Calibri"/>
        </w:rPr>
        <w:t>.</w:t>
      </w:r>
    </w:p>
    <w:p w:rsidR="002B1AD6" w:rsidRPr="00D22EA8" w:rsidRDefault="002B1AD6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22EA8">
        <w:rPr>
          <w:rFonts w:ascii="Calibri" w:hAnsi="Calibri" w:cs="Calibri"/>
          <w:b/>
          <w:bCs/>
          <w:color w:val="C00000"/>
        </w:rPr>
        <w:t>1</w:t>
      </w:r>
      <w:r w:rsidR="002B1AD6">
        <w:rPr>
          <w:rFonts w:ascii="Calibri" w:hAnsi="Calibri" w:cs="Calibri"/>
          <w:b/>
          <w:bCs/>
          <w:color w:val="C00000"/>
        </w:rPr>
        <w:t>6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9114D">
        <w:rPr>
          <w:rFonts w:ascii="Calibri" w:hAnsi="Calibri" w:cs="Calibri"/>
          <w:b/>
        </w:rPr>
        <w:t>50 zł</w:t>
      </w:r>
    </w:p>
    <w:p w:rsidR="00F9114D" w:rsidRDefault="00F9114D" w:rsidP="005F46FA">
      <w:pPr>
        <w:jc w:val="right"/>
        <w:rPr>
          <w:rFonts w:ascii="Calibri" w:hAnsi="Calibri" w:cs="Calibri"/>
          <w:bCs/>
          <w:i/>
        </w:rPr>
      </w:pPr>
    </w:p>
    <w:p w:rsidR="00F9114D" w:rsidRDefault="00F9114D" w:rsidP="005F46FA">
      <w:pPr>
        <w:jc w:val="right"/>
        <w:rPr>
          <w:rFonts w:ascii="Calibri" w:hAnsi="Calibri" w:cs="Calibri"/>
          <w:bCs/>
          <w:i/>
        </w:rPr>
      </w:pP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bookmarkStart w:id="13" w:name="_GoBack"/>
      <w:bookmarkEnd w:id="13"/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F9114D">
        <w:rPr>
          <w:rFonts w:ascii="Calibri" w:hAnsi="Calibri" w:cs="Calibri"/>
          <w:b/>
        </w:rPr>
        <w:t>150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C5" w:rsidRDefault="004C4CC5" w:rsidP="0074050A">
      <w:r>
        <w:separator/>
      </w:r>
    </w:p>
  </w:endnote>
  <w:endnote w:type="continuationSeparator" w:id="0">
    <w:p w:rsidR="004C4CC5" w:rsidRDefault="004C4CC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C5" w:rsidRDefault="004C4CC5" w:rsidP="0074050A">
      <w:r>
        <w:separator/>
      </w:r>
    </w:p>
  </w:footnote>
  <w:footnote w:type="continuationSeparator" w:id="0">
    <w:p w:rsidR="004C4CC5" w:rsidRDefault="004C4CC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4CC5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1195"/>
    <w:rsid w:val="00894086"/>
    <w:rsid w:val="0089619F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114D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15BD-805A-4F60-8971-279B5056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2018-03-07T14:16:00Z</cp:lastPrinted>
  <dcterms:created xsi:type="dcterms:W3CDTF">2018-08-22T10:14:00Z</dcterms:created>
  <dcterms:modified xsi:type="dcterms:W3CDTF">2018-10-08T17:02:00Z</dcterms:modified>
</cp:coreProperties>
</file>