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5330D1">
        <w:rPr>
          <w:rFonts w:ascii="Calibri" w:hAnsi="Calibri" w:cs="Calibri"/>
          <w:b/>
          <w:sz w:val="40"/>
          <w:szCs w:val="40"/>
        </w:rPr>
        <w:t>KURS DOSKONALĄCY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6953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6953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6429CD" w:rsidRDefault="00B82ECB" w:rsidP="006429CD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4"/>
                                <w:szCs w:val="34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B82ECB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4"/>
                                <w:szCs w:val="34"/>
                                <w:bdr w:val="single" w:sz="2" w:space="0" w:color="C00000"/>
                                <w:shd w:val="clear" w:color="auto" w:fill="C00000"/>
                              </w:rPr>
                              <w:t>Indywidualne doradztwo zawodowo – edukacyjne</w:t>
                            </w:r>
                            <w:r w:rsidR="005330D1" w:rsidRPr="002D2FA0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4"/>
                                <w:szCs w:val="34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-.05pt;width:511.5pt;height:5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" fillcolor="#c00000" stroked="f">
                <v:textbox>
                  <w:txbxContent>
                    <w:p w:rsidR="00C51723" w:rsidRPr="006429CD" w:rsidRDefault="00B82ECB" w:rsidP="006429CD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4"/>
                          <w:szCs w:val="34"/>
                          <w:bdr w:val="single" w:sz="2" w:space="0" w:color="C00000"/>
                          <w:shd w:val="clear" w:color="auto" w:fill="C00000"/>
                        </w:rPr>
                      </w:pPr>
                      <w:r w:rsidRPr="00B82ECB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4"/>
                          <w:szCs w:val="34"/>
                          <w:bdr w:val="single" w:sz="2" w:space="0" w:color="C00000"/>
                          <w:shd w:val="clear" w:color="auto" w:fill="C00000"/>
                        </w:rPr>
                        <w:t>Indywidualne doradztwo zawodowo – edukacyjne</w:t>
                      </w:r>
                      <w:r w:rsidR="005330D1" w:rsidRPr="002D2FA0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4"/>
                          <w:szCs w:val="34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6F18B7">
        <w:rPr>
          <w:rFonts w:asciiTheme="minorHAnsi" w:hAnsiTheme="minorHAnsi" w:cs="Calibri"/>
          <w:b/>
        </w:rPr>
        <w:t>47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B82ECB" w:rsidRPr="00B82ECB">
        <w:rPr>
          <w:rFonts w:asciiTheme="minorHAnsi" w:hAnsiTheme="minorHAnsi" w:cs="Calibri"/>
          <w:b/>
        </w:rPr>
        <w:t>nauczyciele, wychowawcy, doradcy zawodowi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B4181F" w:rsidRDefault="009273AC" w:rsidP="00BD06F8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B82ECB">
        <w:rPr>
          <w:rFonts w:asciiTheme="minorHAnsi" w:hAnsiTheme="minorHAnsi" w:cs="Calibri"/>
          <w:b/>
          <w:sz w:val="28"/>
        </w:rPr>
        <w:t xml:space="preserve"> </w:t>
      </w:r>
      <w:r w:rsidR="00B82ECB" w:rsidRPr="00B82ECB">
        <w:rPr>
          <w:rFonts w:asciiTheme="minorHAnsi" w:hAnsiTheme="minorHAnsi" w:cs="Calibri"/>
        </w:rPr>
        <w:t>Ćwiczenie umiejętności w zakresie stosowania indywidualnego doradztwa zawodowego</w:t>
      </w:r>
      <w:r w:rsidR="002D2FA0">
        <w:rPr>
          <w:rFonts w:asciiTheme="minorHAnsi" w:hAnsiTheme="minorHAnsi" w:cs="Calibri"/>
        </w:rPr>
        <w:t>.</w:t>
      </w:r>
    </w:p>
    <w:p w:rsidR="00B4181F" w:rsidRPr="00B4083D" w:rsidRDefault="00B4181F" w:rsidP="00B4181F">
      <w:pPr>
        <w:ind w:left="851" w:hanging="851"/>
        <w:jc w:val="both"/>
        <w:rPr>
          <w:rFonts w:asciiTheme="minorHAnsi" w:hAnsiTheme="minorHAnsi" w:cs="Calibri"/>
          <w:sz w:val="20"/>
          <w:szCs w:val="20"/>
        </w:rPr>
      </w:pPr>
    </w:p>
    <w:p w:rsidR="00B82ECB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B82ECB" w:rsidRDefault="00B82ECB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Pr="00B82ECB">
        <w:rPr>
          <w:rFonts w:ascii="Calibri" w:hAnsi="Calibri" w:cs="Calibri"/>
        </w:rPr>
        <w:t>Bilans za</w:t>
      </w:r>
      <w:r>
        <w:rPr>
          <w:rFonts w:ascii="Calibri" w:hAnsi="Calibri" w:cs="Calibri"/>
        </w:rPr>
        <w:t xml:space="preserve">sobów ucznia – obszary do pracy </w:t>
      </w:r>
      <w:r>
        <w:rPr>
          <w:rFonts w:ascii="Calibri" w:hAnsi="Calibri" w:cs="Calibri"/>
        </w:rPr>
        <w:t>●</w:t>
      </w:r>
      <w:r>
        <w:rPr>
          <w:rFonts w:ascii="Calibri" w:hAnsi="Calibri" w:cs="Calibri"/>
        </w:rPr>
        <w:t xml:space="preserve"> </w:t>
      </w:r>
      <w:r w:rsidRPr="00B82ECB">
        <w:rPr>
          <w:rFonts w:ascii="Calibri" w:hAnsi="Calibri" w:cs="Calibri"/>
        </w:rPr>
        <w:t>Narzędzia diagnostyczne w indywidualnym doradztwie edukacyjno-zawodowym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●</w:t>
      </w:r>
      <w:r>
        <w:rPr>
          <w:rFonts w:ascii="Calibri" w:hAnsi="Calibri" w:cs="Calibri"/>
        </w:rPr>
        <w:t xml:space="preserve"> </w:t>
      </w:r>
      <w:r w:rsidRPr="00B82ECB">
        <w:rPr>
          <w:rFonts w:ascii="Calibri" w:hAnsi="Calibri" w:cs="Calibri"/>
        </w:rPr>
        <w:t>Najciekawsze zadania i ćwiczenia podczas rozmowy z uczniem</w:t>
      </w:r>
    </w:p>
    <w:p w:rsidR="00B82ECB" w:rsidRDefault="00B82ECB" w:rsidP="00B82ECB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●</w:t>
      </w:r>
      <w:r>
        <w:rPr>
          <w:rFonts w:ascii="Calibri" w:hAnsi="Calibri" w:cs="Calibri"/>
        </w:rPr>
        <w:t xml:space="preserve"> </w:t>
      </w:r>
      <w:r w:rsidRPr="00B82ECB">
        <w:rPr>
          <w:rFonts w:ascii="Calibri" w:hAnsi="Calibri" w:cs="Calibri"/>
        </w:rPr>
        <w:t>Rozmowa doradcza – etapy,</w:t>
      </w:r>
      <w:r>
        <w:rPr>
          <w:rFonts w:ascii="Calibri" w:hAnsi="Calibri" w:cs="Calibri"/>
        </w:rPr>
        <w:t xml:space="preserve"> szanse, zagrożenia – symulacja </w:t>
      </w:r>
      <w:r>
        <w:rPr>
          <w:rFonts w:ascii="Calibri" w:hAnsi="Calibri" w:cs="Calibri"/>
        </w:rPr>
        <w:t>●</w:t>
      </w:r>
      <w:r>
        <w:rPr>
          <w:rFonts w:ascii="Calibri" w:hAnsi="Calibri" w:cs="Calibri"/>
        </w:rPr>
        <w:t xml:space="preserve"> </w:t>
      </w:r>
      <w:r w:rsidRPr="00B82ECB">
        <w:rPr>
          <w:rFonts w:ascii="Calibri" w:hAnsi="Calibri" w:cs="Calibri"/>
        </w:rPr>
        <w:t>Pomoce dydaktyczne w indy</w:t>
      </w:r>
      <w:r>
        <w:rPr>
          <w:rFonts w:ascii="Calibri" w:hAnsi="Calibri" w:cs="Calibri"/>
        </w:rPr>
        <w:t xml:space="preserve">widualnym doradztwie zawodowym  </w:t>
      </w:r>
      <w:r>
        <w:rPr>
          <w:rFonts w:ascii="Calibri" w:hAnsi="Calibri" w:cs="Calibri"/>
        </w:rPr>
        <w:t>●</w:t>
      </w:r>
      <w:r>
        <w:rPr>
          <w:rFonts w:ascii="Calibri" w:hAnsi="Calibri" w:cs="Calibri"/>
        </w:rPr>
        <w:t xml:space="preserve"> </w:t>
      </w:r>
      <w:r w:rsidRPr="00B82ECB">
        <w:rPr>
          <w:rFonts w:ascii="Calibri" w:hAnsi="Calibri" w:cs="Calibri"/>
        </w:rPr>
        <w:t>Elementy coachingu w poradnictwie kariery</w:t>
      </w:r>
    </w:p>
    <w:p w:rsidR="00B82ECB" w:rsidRPr="00B82ECB" w:rsidRDefault="00B82ECB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="Calibri" w:hAnsi="Calibri" w:cs="Calibri"/>
        </w:rPr>
      </w:pPr>
    </w:p>
    <w:p w:rsidR="002D2FA0" w:rsidRDefault="002D2FA0" w:rsidP="003F197B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B82ECB" w:rsidRPr="006429CD" w:rsidRDefault="00B82ECB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10"/>
          <w:szCs w:val="10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B82ECB">
        <w:rPr>
          <w:rFonts w:asciiTheme="minorHAnsi" w:hAnsiTheme="minorHAnsi" w:cs="Calibri"/>
          <w:b/>
        </w:rPr>
        <w:t>06.12</w:t>
      </w:r>
      <w:r w:rsidRPr="009E1F89">
        <w:rPr>
          <w:rFonts w:asciiTheme="minorHAnsi" w:hAnsiTheme="minorHAnsi" w:cs="Calibri"/>
          <w:b/>
        </w:rPr>
        <w:t xml:space="preserve">.2018 r. </w:t>
      </w:r>
      <w:r w:rsidR="00E42B54">
        <w:rPr>
          <w:rFonts w:asciiTheme="minorHAnsi" w:hAnsiTheme="minorHAnsi" w:cs="Calibri"/>
          <w:b/>
        </w:rPr>
        <w:t xml:space="preserve">     godz. 1</w:t>
      </w:r>
      <w:r w:rsidR="007C4C9F">
        <w:rPr>
          <w:rFonts w:asciiTheme="minorHAnsi" w:hAnsiTheme="minorHAnsi" w:cs="Calibri"/>
          <w:b/>
        </w:rPr>
        <w:t>5.3</w:t>
      </w:r>
      <w:r>
        <w:rPr>
          <w:rFonts w:asciiTheme="minorHAnsi" w:hAnsiTheme="minorHAnsi" w:cs="Calibri"/>
          <w:b/>
        </w:rPr>
        <w:t>0</w:t>
      </w:r>
    </w:p>
    <w:p w:rsidR="005330D1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B82ECB">
        <w:rPr>
          <w:rFonts w:asciiTheme="minorHAnsi" w:hAnsiTheme="minorHAnsi" w:cs="Calibri"/>
          <w:b/>
        </w:rPr>
        <w:t>07.12</w:t>
      </w:r>
      <w:r w:rsidRPr="005330D1">
        <w:rPr>
          <w:rFonts w:asciiTheme="minorHAnsi" w:hAnsiTheme="minorHAnsi" w:cs="Calibri"/>
          <w:b/>
        </w:rPr>
        <w:t xml:space="preserve">.2018 r.      godz. </w:t>
      </w:r>
      <w:r w:rsidR="00B82ECB">
        <w:rPr>
          <w:rFonts w:asciiTheme="minorHAnsi" w:hAnsiTheme="minorHAnsi" w:cs="Calibri"/>
          <w:b/>
        </w:rPr>
        <w:t>15.30</w:t>
      </w:r>
    </w:p>
    <w:p w:rsidR="000A3E89" w:rsidRPr="00B4083D" w:rsidRDefault="00E42B54" w:rsidP="003F197B">
      <w:pPr>
        <w:autoSpaceDE w:val="0"/>
        <w:autoSpaceDN w:val="0"/>
        <w:adjustRightInd w:val="0"/>
        <w:rPr>
          <w:color w:val="C00000"/>
          <w:sz w:val="20"/>
          <w:szCs w:val="20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B82ECB">
        <w:rPr>
          <w:rFonts w:ascii="Calibri" w:hAnsi="Calibri" w:cs="Calibri"/>
          <w:bCs/>
        </w:rPr>
        <w:t xml:space="preserve">10 </w:t>
      </w:r>
      <w:r w:rsidR="005D1AB0" w:rsidRPr="00FF3847">
        <w:rPr>
          <w:rFonts w:ascii="Calibri" w:hAnsi="Calibri" w:cs="Calibri"/>
          <w:bCs/>
        </w:rPr>
        <w:t>godzin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D2FA0">
        <w:rPr>
          <w:rFonts w:ascii="Calibri" w:hAnsi="Calibri" w:cs="Calibri"/>
          <w:bCs/>
        </w:rPr>
        <w:t>ych</w:t>
      </w:r>
      <w:r w:rsidR="005330D1">
        <w:rPr>
          <w:rFonts w:ascii="Calibri" w:hAnsi="Calibri" w:cs="Calibri"/>
          <w:bCs/>
        </w:rPr>
        <w:t xml:space="preserve"> </w:t>
      </w:r>
    </w:p>
    <w:p w:rsidR="00B4083D" w:rsidRPr="006429CD" w:rsidRDefault="00B4083D" w:rsidP="002876DC">
      <w:pPr>
        <w:jc w:val="both"/>
        <w:rPr>
          <w:rStyle w:val="Pogrubienie"/>
          <w:rFonts w:asciiTheme="minorHAnsi" w:hAnsiTheme="minorHAnsi"/>
          <w:color w:val="C00000"/>
          <w:sz w:val="10"/>
          <w:szCs w:val="10"/>
          <w:u w:val="single"/>
        </w:rPr>
      </w:pPr>
    </w:p>
    <w:p w:rsidR="00B4181F" w:rsidRDefault="00291D43" w:rsidP="002876DC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B82ECB" w:rsidRPr="00B82ECB">
        <w:rPr>
          <w:rFonts w:ascii="Calibri" w:hAnsi="Calibri" w:cs="Calibri"/>
          <w:b/>
        </w:rPr>
        <w:t>Agnieszka Ciereszko</w:t>
      </w:r>
      <w:r w:rsidR="00B82ECB" w:rsidRPr="00B82ECB">
        <w:rPr>
          <w:rFonts w:ascii="Calibri" w:hAnsi="Calibri" w:cs="Calibri"/>
        </w:rPr>
        <w:t xml:space="preserve"> - szkoleniowiec i konsultant kariery, metodyk zdalnego nauczania. Właścicielka firmy </w:t>
      </w:r>
      <w:proofErr w:type="spellStart"/>
      <w:r w:rsidR="00B82ECB" w:rsidRPr="00B82ECB">
        <w:rPr>
          <w:rFonts w:ascii="Calibri" w:hAnsi="Calibri" w:cs="Calibri"/>
        </w:rPr>
        <w:t>Virtus</w:t>
      </w:r>
      <w:proofErr w:type="spellEnd"/>
      <w:r w:rsidR="00B82ECB" w:rsidRPr="00B82ECB">
        <w:rPr>
          <w:rFonts w:ascii="Calibri" w:hAnsi="Calibri" w:cs="Calibri"/>
        </w:rPr>
        <w:t xml:space="preserve"> Centrum Wsparcia Aktywności i Rozwoju oraz marki Akademia </w:t>
      </w:r>
      <w:proofErr w:type="spellStart"/>
      <w:r w:rsidR="00B82ECB" w:rsidRPr="00B82ECB">
        <w:rPr>
          <w:rFonts w:ascii="Calibri" w:hAnsi="Calibri" w:cs="Calibri"/>
        </w:rPr>
        <w:t>Webinaru</w:t>
      </w:r>
      <w:proofErr w:type="spellEnd"/>
      <w:r w:rsidR="00B82ECB" w:rsidRPr="00B82ECB">
        <w:rPr>
          <w:rFonts w:ascii="Calibri" w:hAnsi="Calibri" w:cs="Calibri"/>
        </w:rPr>
        <w:t xml:space="preserve">. Po kilku latach na etacie założyła własną firmę szkoleniową, realizującą projekty dla edukacji. Wykładowca akademicki na kilku uczelniach. Współzałożycielka poznańskiego Stowarzyszenia </w:t>
      </w:r>
      <w:proofErr w:type="spellStart"/>
      <w:r w:rsidR="00B82ECB" w:rsidRPr="00B82ECB">
        <w:rPr>
          <w:rFonts w:ascii="Calibri" w:hAnsi="Calibri" w:cs="Calibri"/>
        </w:rPr>
        <w:t>WiDoK</w:t>
      </w:r>
      <w:proofErr w:type="spellEnd"/>
      <w:r w:rsidR="00B82ECB" w:rsidRPr="00B82ECB">
        <w:rPr>
          <w:rFonts w:ascii="Calibri" w:hAnsi="Calibri" w:cs="Calibri"/>
        </w:rPr>
        <w:t>, dzi</w:t>
      </w:r>
      <w:r w:rsidR="006F18B7">
        <w:rPr>
          <w:rFonts w:ascii="Calibri" w:hAnsi="Calibri" w:cs="Calibri"/>
        </w:rPr>
        <w:t>ałającego na rzecz planowania i </w:t>
      </w:r>
      <w:r w:rsidR="00B82ECB" w:rsidRPr="00B82ECB">
        <w:rPr>
          <w:rFonts w:ascii="Calibri" w:hAnsi="Calibri" w:cs="Calibri"/>
        </w:rPr>
        <w:t>rozwoju kariery. Autorka dwóch prac magisterskich: z andragogiki i psychologii, poradników i informatorów oraz książki dla młodzieży: „Praca i ja. Przygoda życia”. Twórca gier szkoleniowych oraz nowoczesnych narzędzi edukacyjnych. Popularyzatorka grywalizacji w nauczaniu. Pracuje z młodzieżą,</w:t>
      </w:r>
      <w:r w:rsidR="004F460D">
        <w:rPr>
          <w:rFonts w:ascii="Calibri" w:hAnsi="Calibri" w:cs="Calibri"/>
        </w:rPr>
        <w:t xml:space="preserve"> osobami dorosłymi, seniorami w </w:t>
      </w:r>
      <w:r w:rsidR="00B82ECB" w:rsidRPr="00B82ECB">
        <w:rPr>
          <w:rFonts w:ascii="Calibri" w:hAnsi="Calibri" w:cs="Calibri"/>
        </w:rPr>
        <w:t>zakresie rozwoju osobistego i zawodowego</w:t>
      </w:r>
      <w:r w:rsidR="002D2FA0" w:rsidRPr="002D2FA0">
        <w:rPr>
          <w:rFonts w:ascii="Calibri" w:hAnsi="Calibri" w:cs="Calibri"/>
        </w:rPr>
        <w:t>.</w:t>
      </w:r>
    </w:p>
    <w:p w:rsidR="00B82ECB" w:rsidRDefault="00B82ECB" w:rsidP="002876DC">
      <w:pPr>
        <w:jc w:val="both"/>
        <w:rPr>
          <w:rFonts w:ascii="Calibri" w:hAnsi="Calibri" w:cs="Calibri"/>
        </w:rPr>
      </w:pPr>
    </w:p>
    <w:p w:rsidR="00B82ECB" w:rsidRPr="00B82ECB" w:rsidRDefault="00B82ECB" w:rsidP="002876DC">
      <w:pPr>
        <w:jc w:val="both"/>
        <w:rPr>
          <w:rFonts w:ascii="Calibri" w:hAnsi="Calibri" w:cs="Calibri"/>
        </w:rPr>
      </w:pPr>
      <w:r w:rsidRPr="00B82ECB">
        <w:rPr>
          <w:rFonts w:ascii="Calibri" w:hAnsi="Calibri" w:cs="Calibri"/>
          <w:b/>
          <w:color w:val="C00000"/>
          <w:sz w:val="26"/>
          <w:szCs w:val="26"/>
          <w:u w:val="single"/>
        </w:rPr>
        <w:t>Kierownik merytoryczny</w:t>
      </w:r>
      <w:r w:rsidRPr="00B82ECB">
        <w:rPr>
          <w:rFonts w:ascii="Calibri" w:hAnsi="Calibri" w:cs="Calibri"/>
          <w:b/>
          <w:color w:val="C00000"/>
        </w:rPr>
        <w:t xml:space="preserve"> </w:t>
      </w:r>
      <w:r w:rsidRPr="00B82ECB">
        <w:rPr>
          <w:rFonts w:ascii="Calibri" w:hAnsi="Calibri" w:cs="Calibri"/>
        </w:rPr>
        <w:t xml:space="preserve">-   </w:t>
      </w:r>
      <w:r w:rsidRPr="00B82ECB">
        <w:rPr>
          <w:rFonts w:ascii="Calibri" w:hAnsi="Calibri" w:cs="Calibri"/>
          <w:b/>
        </w:rPr>
        <w:t>Ryszarda Wiśniewska-Paluch</w:t>
      </w:r>
      <w:r>
        <w:rPr>
          <w:rFonts w:ascii="Calibri" w:hAnsi="Calibri" w:cs="Calibri"/>
          <w:b/>
        </w:rPr>
        <w:t xml:space="preserve"> </w:t>
      </w:r>
      <w:r w:rsidRPr="00B82ECB">
        <w:rPr>
          <w:rFonts w:ascii="Calibri" w:hAnsi="Calibri" w:cs="Calibri"/>
        </w:rPr>
        <w:t xml:space="preserve">- konsultant </w:t>
      </w:r>
      <w:proofErr w:type="spellStart"/>
      <w:r w:rsidRPr="00B82ECB">
        <w:rPr>
          <w:rFonts w:ascii="Calibri" w:hAnsi="Calibri" w:cs="Calibri"/>
        </w:rPr>
        <w:t>PCEiK</w:t>
      </w:r>
      <w:proofErr w:type="spellEnd"/>
      <w:r w:rsidRPr="00B82ECB">
        <w:rPr>
          <w:rFonts w:ascii="Calibri" w:hAnsi="Calibri" w:cs="Calibri"/>
        </w:rPr>
        <w:t xml:space="preserve"> ds.</w:t>
      </w:r>
      <w:r>
        <w:rPr>
          <w:rFonts w:ascii="Calibri" w:hAnsi="Calibri" w:cs="Calibri"/>
        </w:rPr>
        <w:t xml:space="preserve"> psychoedukacji, profilaktyki i </w:t>
      </w:r>
      <w:r w:rsidRPr="00B82ECB">
        <w:rPr>
          <w:rFonts w:ascii="Calibri" w:hAnsi="Calibri" w:cs="Calibri"/>
        </w:rPr>
        <w:t>wspierania uzdolnień, doradca zawodowy</w:t>
      </w:r>
      <w:r>
        <w:rPr>
          <w:rFonts w:ascii="Calibri" w:hAnsi="Calibri" w:cs="Calibri"/>
        </w:rPr>
        <w:t>.</w:t>
      </w:r>
      <w:r w:rsidRPr="00B82ECB">
        <w:rPr>
          <w:rFonts w:ascii="Calibri" w:hAnsi="Calibri" w:cs="Calibri"/>
        </w:rPr>
        <w:t xml:space="preserve">  </w:t>
      </w:r>
    </w:p>
    <w:p w:rsidR="002D2FA0" w:rsidRPr="002D2FA0" w:rsidRDefault="002D2FA0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B82ECB">
        <w:rPr>
          <w:rFonts w:ascii="Calibri" w:hAnsi="Calibri" w:cs="Calibri"/>
          <w:b/>
          <w:bCs/>
          <w:color w:val="C00000"/>
        </w:rPr>
        <w:t>30.11</w:t>
      </w:r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Pr="004F460D" w:rsidRDefault="004F460D" w:rsidP="004F460D">
      <w:pPr>
        <w:jc w:val="right"/>
        <w:rPr>
          <w:rFonts w:ascii="Calibri" w:hAnsi="Calibri" w:cs="Calibri"/>
          <w:i/>
        </w:rPr>
      </w:pPr>
      <w:r w:rsidRPr="004F460D">
        <w:rPr>
          <w:rFonts w:ascii="Calibri" w:hAnsi="Calibri" w:cs="Calibri"/>
          <w:i/>
        </w:rPr>
        <w:t>verte</w:t>
      </w:r>
    </w:p>
    <w:p w:rsidR="004F460D" w:rsidRDefault="004F460D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bookmarkStart w:id="13" w:name="_GoBack"/>
      <w:bookmarkEnd w:id="13"/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6F18B7">
        <w:rPr>
          <w:rFonts w:ascii="Calibri" w:hAnsi="Calibri" w:cs="Calibri"/>
          <w:b/>
        </w:rPr>
        <w:t>40</w:t>
      </w:r>
      <w:r w:rsidR="000C04AB">
        <w:rPr>
          <w:rFonts w:ascii="Calibri" w:hAnsi="Calibri" w:cs="Calibri"/>
          <w:b/>
        </w:rPr>
        <w:t xml:space="preserve"> zł</w:t>
      </w:r>
    </w:p>
    <w:p w:rsidR="004F460D" w:rsidRDefault="004F460D" w:rsidP="00037025">
      <w:pPr>
        <w:ind w:left="360" w:hanging="360"/>
        <w:jc w:val="both"/>
        <w:rPr>
          <w:rFonts w:ascii="Calibri" w:hAnsi="Calibri" w:cs="Calibri"/>
          <w:b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C809A0">
        <w:rPr>
          <w:rFonts w:ascii="Calibri" w:hAnsi="Calibri" w:cs="Calibri"/>
          <w:b/>
        </w:rPr>
        <w:t>200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66" w:rsidRDefault="00D37566" w:rsidP="0074050A">
      <w:r>
        <w:separator/>
      </w:r>
    </w:p>
  </w:endnote>
  <w:endnote w:type="continuationSeparator" w:id="0">
    <w:p w:rsidR="00D37566" w:rsidRDefault="00D37566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66" w:rsidRDefault="00D37566" w:rsidP="0074050A">
      <w:r>
        <w:separator/>
      </w:r>
    </w:p>
  </w:footnote>
  <w:footnote w:type="continuationSeparator" w:id="0">
    <w:p w:rsidR="00D37566" w:rsidRDefault="00D37566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04AB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2FA0"/>
    <w:rsid w:val="002D3F0C"/>
    <w:rsid w:val="002E0B9E"/>
    <w:rsid w:val="002E5D84"/>
    <w:rsid w:val="00305BC9"/>
    <w:rsid w:val="00312750"/>
    <w:rsid w:val="00325EDC"/>
    <w:rsid w:val="0033086E"/>
    <w:rsid w:val="00330944"/>
    <w:rsid w:val="0034144A"/>
    <w:rsid w:val="00371643"/>
    <w:rsid w:val="00374DAD"/>
    <w:rsid w:val="00377898"/>
    <w:rsid w:val="00382735"/>
    <w:rsid w:val="00391B30"/>
    <w:rsid w:val="003A2B26"/>
    <w:rsid w:val="003A7B7F"/>
    <w:rsid w:val="003C1105"/>
    <w:rsid w:val="003F197B"/>
    <w:rsid w:val="003F68B0"/>
    <w:rsid w:val="00413ADE"/>
    <w:rsid w:val="004547B6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4F460D"/>
    <w:rsid w:val="0050135B"/>
    <w:rsid w:val="0051457C"/>
    <w:rsid w:val="00522534"/>
    <w:rsid w:val="005330D1"/>
    <w:rsid w:val="00533A39"/>
    <w:rsid w:val="00540D4C"/>
    <w:rsid w:val="00553A8D"/>
    <w:rsid w:val="00562B15"/>
    <w:rsid w:val="0057208D"/>
    <w:rsid w:val="005810FC"/>
    <w:rsid w:val="00584DF3"/>
    <w:rsid w:val="005B3B5A"/>
    <w:rsid w:val="005B55DE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29CD"/>
    <w:rsid w:val="00644DE5"/>
    <w:rsid w:val="00655C4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18B7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C4C9F"/>
    <w:rsid w:val="007D3BAC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803DB"/>
    <w:rsid w:val="00A965CF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4083D"/>
    <w:rsid w:val="00B4181F"/>
    <w:rsid w:val="00B61083"/>
    <w:rsid w:val="00B81152"/>
    <w:rsid w:val="00B82ECB"/>
    <w:rsid w:val="00B935E0"/>
    <w:rsid w:val="00BA6AE4"/>
    <w:rsid w:val="00BA71C0"/>
    <w:rsid w:val="00BC42A3"/>
    <w:rsid w:val="00BC544B"/>
    <w:rsid w:val="00BD06F8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09A0"/>
    <w:rsid w:val="00C85AA5"/>
    <w:rsid w:val="00C914B4"/>
    <w:rsid w:val="00C93590"/>
    <w:rsid w:val="00CA05DF"/>
    <w:rsid w:val="00CA7AAF"/>
    <w:rsid w:val="00CD2DB8"/>
    <w:rsid w:val="00CD45F2"/>
    <w:rsid w:val="00CE0798"/>
    <w:rsid w:val="00CE579B"/>
    <w:rsid w:val="00CF7D7E"/>
    <w:rsid w:val="00D11656"/>
    <w:rsid w:val="00D1461D"/>
    <w:rsid w:val="00D25B2B"/>
    <w:rsid w:val="00D25D65"/>
    <w:rsid w:val="00D34F07"/>
    <w:rsid w:val="00D37566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BD0"/>
    <w:rsid w:val="00E14CEB"/>
    <w:rsid w:val="00E16117"/>
    <w:rsid w:val="00E231D5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FA3BB-16D0-4B05-B826-58530555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14</cp:revision>
  <cp:lastPrinted>2018-09-04T08:29:00Z</cp:lastPrinted>
  <dcterms:created xsi:type="dcterms:W3CDTF">2018-08-21T11:56:00Z</dcterms:created>
  <dcterms:modified xsi:type="dcterms:W3CDTF">2018-10-10T07:27:00Z</dcterms:modified>
</cp:coreProperties>
</file>