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330D1">
        <w:rPr>
          <w:rFonts w:ascii="Calibri" w:hAnsi="Calibri" w:cs="Calibri"/>
          <w:b/>
          <w:sz w:val="40"/>
          <w:szCs w:val="40"/>
        </w:rPr>
        <w:t>KURS DOSKONALĄCY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C914B4" w:rsidRDefault="002D2FA0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 elementami psychologii rozwoju osobistego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914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6429CD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6429C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Współczesny nauczyciel. Kompendium wiedzy i umiejętności, które gwarantują satysfakcję  z wykonywanego zawodu</w:t>
                            </w:r>
                            <w:r w:rsidR="005330D1" w:rsidRPr="002D2F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" fillcolor="#c00000" stroked="f">
                <v:textbox>
                  <w:txbxContent>
                    <w:p w:rsidR="00C51723" w:rsidRPr="006429CD" w:rsidRDefault="006429CD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6429C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Współczesny nauczyciel. Kompendium wiedzy i umiejętności, które gwarantują satysfakcję  z wykonywanego zawodu</w:t>
                      </w:r>
                      <w:r w:rsidR="005330D1" w:rsidRPr="002D2F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</w:t>
      </w:r>
      <w:r w:rsidR="002D2FA0">
        <w:rPr>
          <w:rFonts w:asciiTheme="minorHAnsi" w:hAnsiTheme="minorHAnsi" w:cs="Calibri"/>
          <w:b/>
        </w:rPr>
        <w:t>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5330D1" w:rsidRPr="005330D1">
        <w:rPr>
          <w:rFonts w:asciiTheme="minorHAnsi" w:hAnsiTheme="minorHAnsi" w:cs="Calibri"/>
          <w:b/>
        </w:rPr>
        <w:t>Nauczy</w:t>
      </w:r>
      <w:r w:rsidR="00BD06F8">
        <w:rPr>
          <w:rFonts w:asciiTheme="minorHAnsi" w:hAnsiTheme="minorHAnsi" w:cs="Calibri"/>
          <w:b/>
        </w:rPr>
        <w:t xml:space="preserve">ciele </w:t>
      </w:r>
      <w:r w:rsidR="005330D1" w:rsidRPr="005330D1">
        <w:rPr>
          <w:rFonts w:asciiTheme="minorHAnsi" w:hAnsiTheme="minorHAnsi" w:cs="Calibri"/>
          <w:b/>
        </w:rPr>
        <w:t>edukacji wczesnoszkolnej</w:t>
      </w:r>
      <w:r w:rsidR="006429CD">
        <w:rPr>
          <w:rFonts w:asciiTheme="minorHAnsi" w:hAnsiTheme="minorHAnsi" w:cs="Calibri"/>
          <w:b/>
        </w:rPr>
        <w:t xml:space="preserve">, </w:t>
      </w:r>
      <w:r w:rsidR="006429CD" w:rsidRPr="006429CD">
        <w:rPr>
          <w:rFonts w:asciiTheme="minorHAnsi" w:hAnsiTheme="minorHAnsi" w:cs="Calibri"/>
          <w:b/>
        </w:rPr>
        <w:t>nauczyciel</w:t>
      </w:r>
      <w:r w:rsidR="006429CD">
        <w:rPr>
          <w:rFonts w:asciiTheme="minorHAnsi" w:hAnsiTheme="minorHAnsi" w:cs="Calibri"/>
          <w:b/>
        </w:rPr>
        <w:t>e</w:t>
      </w:r>
      <w:r w:rsidR="006429CD" w:rsidRPr="006429CD">
        <w:rPr>
          <w:rFonts w:asciiTheme="minorHAnsi" w:hAnsiTheme="minorHAnsi" w:cs="Calibri"/>
          <w:b/>
        </w:rPr>
        <w:t xml:space="preserve"> języka</w:t>
      </w:r>
      <w:r w:rsidR="006429CD">
        <w:rPr>
          <w:rFonts w:asciiTheme="minorHAnsi" w:hAnsiTheme="minorHAnsi" w:cs="Calibri"/>
          <w:b/>
        </w:rPr>
        <w:t xml:space="preserve"> polskiego (IV-VI), pedagodzy i </w:t>
      </w:r>
      <w:r w:rsidR="006429CD" w:rsidRPr="006429CD">
        <w:rPr>
          <w:rFonts w:asciiTheme="minorHAnsi" w:hAnsiTheme="minorHAnsi" w:cs="Calibri"/>
          <w:b/>
        </w:rPr>
        <w:t>psycholo</w:t>
      </w:r>
      <w:r w:rsidR="006429CD">
        <w:rPr>
          <w:rFonts w:asciiTheme="minorHAnsi" w:hAnsiTheme="minorHAnsi" w:cs="Calibri"/>
          <w:b/>
        </w:rPr>
        <w:t>dzy</w:t>
      </w:r>
      <w:r w:rsidR="006429CD" w:rsidRPr="006429CD">
        <w:rPr>
          <w:rFonts w:asciiTheme="minorHAnsi" w:hAnsiTheme="minorHAnsi" w:cs="Calibri"/>
          <w:b/>
        </w:rPr>
        <w:t xml:space="preserve"> szkoln</w:t>
      </w:r>
      <w:r w:rsidR="006429CD">
        <w:rPr>
          <w:rFonts w:asciiTheme="minorHAnsi" w:hAnsiTheme="minorHAnsi" w:cs="Calibri"/>
          <w:b/>
        </w:rPr>
        <w:t>i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BD06F8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D2FA0" w:rsidRPr="002D2FA0">
        <w:rPr>
          <w:rFonts w:asciiTheme="minorHAnsi" w:hAnsiTheme="minorHAnsi" w:cs="Calibri"/>
        </w:rPr>
        <w:t>Wyposażenie uczestników szkolenia w wiedzę i umiejętności,</w:t>
      </w:r>
      <w:r w:rsidR="002D2FA0">
        <w:rPr>
          <w:rFonts w:asciiTheme="minorHAnsi" w:hAnsiTheme="minorHAnsi" w:cs="Calibri"/>
        </w:rPr>
        <w:t xml:space="preserve"> które gwarantują satysfakcję z </w:t>
      </w:r>
      <w:r w:rsidR="002D2FA0" w:rsidRPr="002D2FA0">
        <w:rPr>
          <w:rFonts w:asciiTheme="minorHAnsi" w:hAnsiTheme="minorHAnsi" w:cs="Calibri"/>
        </w:rPr>
        <w:t>wykonywanej pracy w edukacji wczesnoszkolnej</w:t>
      </w:r>
      <w:r w:rsidR="002D2FA0">
        <w:rPr>
          <w:rFonts w:asciiTheme="minorHAnsi" w:hAnsiTheme="minorHAnsi" w:cs="Calibri"/>
        </w:rPr>
        <w:t>.</w:t>
      </w:r>
    </w:p>
    <w:p w:rsidR="00B4181F" w:rsidRPr="00B4083D" w:rsidRDefault="00B4181F" w:rsidP="00B4181F">
      <w:pPr>
        <w:ind w:left="851" w:hanging="851"/>
        <w:jc w:val="both"/>
        <w:rPr>
          <w:rFonts w:asciiTheme="minorHAnsi" w:hAnsiTheme="minorHAnsi" w:cs="Calibri"/>
          <w:sz w:val="20"/>
          <w:szCs w:val="2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2D2FA0" w:rsidRPr="002D2FA0" w:rsidRDefault="002D2FA0" w:rsidP="002D2FA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</w:rPr>
      </w:pPr>
      <w:r w:rsidRPr="002D2FA0">
        <w:rPr>
          <w:rFonts w:asciiTheme="minorHAnsi" w:hAnsiTheme="minorHAnsi" w:cs="Calibri"/>
        </w:rPr>
        <w:t xml:space="preserve">Znaczenie i cel diagnozy w edukacji. Rodzaje diagnoz wstępnych. Wykorzystywanie wyników i konstruowanie wniosków. Planowanie pracy ucznia i nauczyciela. Wstępna diagnoza ucznia, a program nauczania. Konwencjonalne i niekonwencjonalne metody przeprowadzenia wstępnej diagnozy ucznia klasy 1. Poznanie przykładowych diagnoz i  analiza ich przydatności w pracy. </w:t>
      </w:r>
    </w:p>
    <w:p w:rsidR="00E14BD0" w:rsidRDefault="002D2FA0" w:rsidP="002D2FA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</w:rPr>
      </w:pPr>
      <w:r w:rsidRPr="002D2FA0">
        <w:rPr>
          <w:rFonts w:asciiTheme="minorHAnsi" w:hAnsiTheme="minorHAnsi" w:cs="Calibri"/>
        </w:rPr>
        <w:t xml:space="preserve">Teoria inteligencji wielorakich i jej praktyczne zastosowanie. Inteligencje wielorakie, a praca mózgu. Rodzaje inteligencji i ich wpływ na przebieg edukacji szkolnej. Rola nauczyciela w rozwijaniu inteligencji wielorakich dzieci. </w:t>
      </w:r>
    </w:p>
    <w:p w:rsidR="002D2FA0" w:rsidRPr="002D2FA0" w:rsidRDefault="002D2FA0" w:rsidP="002D2FA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</w:rPr>
      </w:pPr>
      <w:r w:rsidRPr="002D2FA0">
        <w:rPr>
          <w:rFonts w:asciiTheme="minorHAnsi" w:hAnsiTheme="minorHAnsi" w:cs="Calibri"/>
        </w:rPr>
        <w:t>Prawidłowe wykorzystanie osobistego potencjału. Konstruowanie autorskich programów nauczania. Prez</w:t>
      </w:r>
      <w:r>
        <w:rPr>
          <w:rFonts w:asciiTheme="minorHAnsi" w:hAnsiTheme="minorHAnsi" w:cs="Calibri"/>
        </w:rPr>
        <w:t>entacja programu czytelniczego „W </w:t>
      </w:r>
      <w:r w:rsidRPr="002D2FA0">
        <w:rPr>
          <w:rFonts w:asciiTheme="minorHAnsi" w:hAnsiTheme="minorHAnsi" w:cs="Calibri"/>
        </w:rPr>
        <w:t xml:space="preserve">poszukiwaniu pasji życia”. Praca z tekstem kultury jako przykład rozwijania inteligencji językowej. Rola spotkań autorskich. Rola nauczyciela w rozwijaniu zainteresowań czytelniczych. </w:t>
      </w:r>
    </w:p>
    <w:p w:rsidR="00BD06F8" w:rsidRDefault="002D2FA0" w:rsidP="002D2FA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2D2FA0">
        <w:rPr>
          <w:rFonts w:asciiTheme="minorHAnsi" w:hAnsiTheme="minorHAnsi" w:cs="Calibri"/>
        </w:rPr>
        <w:t>Definicja i podstawy prawne oceniania. Historia oceny dzieci w edukacji wczesnoszkolnej w Polsce (1960- 2018).</w:t>
      </w:r>
      <w:r>
        <w:rPr>
          <w:rFonts w:asciiTheme="minorHAnsi" w:hAnsiTheme="minorHAnsi" w:cs="Calibri"/>
        </w:rPr>
        <w:t xml:space="preserve"> </w:t>
      </w:r>
      <w:r w:rsidRPr="002D2FA0">
        <w:rPr>
          <w:rFonts w:asciiTheme="minorHAnsi" w:hAnsiTheme="minorHAnsi" w:cs="Calibri"/>
        </w:rPr>
        <w:t xml:space="preserve">Potrzeby rozwojowe i możliwości dzieci w klasach młodszych, a ocenianie szkolne. Zasady oceniania kształtującego. Rola nauczyciela w procesie oceniania. </w:t>
      </w:r>
    </w:p>
    <w:p w:rsidR="002D2FA0" w:rsidRPr="006429CD" w:rsidRDefault="002D2FA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2D2FA0">
        <w:rPr>
          <w:rFonts w:asciiTheme="minorHAnsi" w:hAnsiTheme="minorHAnsi" w:cs="Calibri"/>
          <w:b/>
        </w:rPr>
        <w:t>21</w:t>
      </w:r>
      <w:r w:rsidR="002876DC">
        <w:rPr>
          <w:rFonts w:asciiTheme="minorHAnsi" w:hAnsiTheme="minorHAnsi" w:cs="Calibri"/>
          <w:b/>
        </w:rPr>
        <w:t>.</w:t>
      </w:r>
      <w:r w:rsidR="00C51723">
        <w:rPr>
          <w:rFonts w:asciiTheme="minorHAnsi" w:hAnsiTheme="minorHAnsi" w:cs="Calibri"/>
          <w:b/>
        </w:rPr>
        <w:t>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</w:p>
    <w:p w:rsidR="005330D1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2</w:t>
      </w:r>
      <w:r w:rsidR="002D2FA0">
        <w:rPr>
          <w:rFonts w:asciiTheme="minorHAnsi" w:hAnsiTheme="minorHAnsi" w:cs="Calibri"/>
          <w:b/>
        </w:rPr>
        <w:t>2</w:t>
      </w:r>
      <w:r w:rsidRPr="005330D1">
        <w:rPr>
          <w:rFonts w:asciiTheme="minorHAnsi" w:hAnsiTheme="minorHAnsi" w:cs="Calibri"/>
          <w:b/>
        </w:rPr>
        <w:t xml:space="preserve">.09.2018 r.      godz. </w:t>
      </w:r>
      <w:r w:rsidR="002D2FA0">
        <w:rPr>
          <w:rFonts w:asciiTheme="minorHAnsi" w:hAnsiTheme="minorHAnsi" w:cs="Calibri"/>
          <w:b/>
        </w:rPr>
        <w:t>9</w:t>
      </w:r>
      <w:r w:rsidRPr="005330D1">
        <w:rPr>
          <w:rFonts w:asciiTheme="minorHAnsi" w:hAnsiTheme="minorHAnsi" w:cs="Calibri"/>
          <w:b/>
        </w:rPr>
        <w:t>:00</w:t>
      </w:r>
    </w:p>
    <w:p w:rsidR="000A3E89" w:rsidRPr="00B4083D" w:rsidRDefault="00E42B54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2D2FA0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D2FA0">
        <w:rPr>
          <w:rFonts w:ascii="Calibri" w:hAnsi="Calibri" w:cs="Calibri"/>
          <w:bCs/>
        </w:rPr>
        <w:t>ych</w:t>
      </w:r>
      <w:r w:rsidR="005330D1">
        <w:rPr>
          <w:rFonts w:ascii="Calibri" w:hAnsi="Calibri" w:cs="Calibri"/>
          <w:bCs/>
        </w:rPr>
        <w:t xml:space="preserve"> </w:t>
      </w:r>
    </w:p>
    <w:p w:rsidR="00B4083D" w:rsidRPr="006429CD" w:rsidRDefault="00B4083D" w:rsidP="002876DC">
      <w:pPr>
        <w:jc w:val="both"/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  <w:bookmarkStart w:id="13" w:name="_GoBack"/>
      <w:bookmarkEnd w:id="13"/>
    </w:p>
    <w:p w:rsidR="00B4181F" w:rsidRDefault="00291D43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2D2FA0" w:rsidRPr="002D2FA0">
        <w:rPr>
          <w:rFonts w:ascii="Calibri" w:hAnsi="Calibri" w:cs="Calibri"/>
          <w:b/>
        </w:rPr>
        <w:t xml:space="preserve">Urszula </w:t>
      </w:r>
      <w:proofErr w:type="spellStart"/>
      <w:r w:rsidR="002D2FA0" w:rsidRPr="002D2FA0">
        <w:rPr>
          <w:rFonts w:ascii="Calibri" w:hAnsi="Calibri" w:cs="Calibri"/>
          <w:b/>
        </w:rPr>
        <w:t>Ewertowska</w:t>
      </w:r>
      <w:proofErr w:type="spellEnd"/>
      <w:r w:rsidR="002D2FA0" w:rsidRPr="002D2FA0">
        <w:rPr>
          <w:rFonts w:ascii="Calibri" w:hAnsi="Calibri" w:cs="Calibri"/>
          <w:b/>
        </w:rPr>
        <w:t xml:space="preserve"> </w:t>
      </w:r>
      <w:r w:rsidR="002D2FA0" w:rsidRPr="002D2FA0">
        <w:rPr>
          <w:rFonts w:ascii="Calibri" w:hAnsi="Calibri" w:cs="Calibri"/>
        </w:rPr>
        <w:t xml:space="preserve">– konsultant ds. edukacji wczesnoszkolnej w </w:t>
      </w:r>
      <w:proofErr w:type="spellStart"/>
      <w:r w:rsidR="002D2FA0" w:rsidRPr="002D2FA0">
        <w:rPr>
          <w:rFonts w:ascii="Calibri" w:hAnsi="Calibri" w:cs="Calibri"/>
        </w:rPr>
        <w:t>PCEiK</w:t>
      </w:r>
      <w:proofErr w:type="spellEnd"/>
      <w:r w:rsidR="002D2FA0" w:rsidRPr="002D2FA0">
        <w:rPr>
          <w:rFonts w:ascii="Calibri" w:hAnsi="Calibri" w:cs="Calibri"/>
        </w:rPr>
        <w:t xml:space="preserve">   w Oleśnicy. Pedagog twórczości.  Praktykujący nauczyciel edukacji wczesnoszkolnej z 33-letnim stażem pracy.  Lider Wewnątrzszkolnego Doskonalenia Nauczycieli. Szkolny Organizator Rozwoju Edukacji. Certyfikowany </w:t>
      </w:r>
      <w:proofErr w:type="spellStart"/>
      <w:r w:rsidR="002D2FA0" w:rsidRPr="002D2FA0">
        <w:rPr>
          <w:rFonts w:ascii="Calibri" w:hAnsi="Calibri" w:cs="Calibri"/>
        </w:rPr>
        <w:t>coach</w:t>
      </w:r>
      <w:proofErr w:type="spellEnd"/>
      <w:r w:rsidR="002D2FA0" w:rsidRPr="002D2FA0">
        <w:rPr>
          <w:rFonts w:ascii="Calibri" w:hAnsi="Calibri" w:cs="Calibri"/>
        </w:rPr>
        <w:t xml:space="preserve"> pomagający 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B4083D" w:rsidRPr="00B4083D" w:rsidRDefault="00B4083D" w:rsidP="00B4083D">
      <w:pPr>
        <w:jc w:val="right"/>
        <w:rPr>
          <w:rFonts w:ascii="Calibri" w:hAnsi="Calibri" w:cs="Calibri"/>
          <w:i/>
        </w:rPr>
      </w:pPr>
      <w:r w:rsidRPr="00B4083D">
        <w:rPr>
          <w:rFonts w:ascii="Calibri" w:hAnsi="Calibri" w:cs="Calibri"/>
          <w:i/>
        </w:rPr>
        <w:t>verte</w:t>
      </w:r>
    </w:p>
    <w:p w:rsidR="002D2FA0" w:rsidRPr="002D2FA0" w:rsidRDefault="002D2F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51723">
        <w:rPr>
          <w:rFonts w:ascii="Calibri" w:hAnsi="Calibri" w:cs="Calibri"/>
          <w:b/>
          <w:bCs/>
          <w:color w:val="C00000"/>
        </w:rPr>
        <w:t>1</w:t>
      </w:r>
      <w:r w:rsidR="002D2FA0">
        <w:rPr>
          <w:rFonts w:ascii="Calibri" w:hAnsi="Calibri" w:cs="Calibri"/>
          <w:b/>
          <w:bCs/>
          <w:color w:val="C00000"/>
        </w:rPr>
        <w:t>8.</w:t>
      </w:r>
      <w:r w:rsidR="00C51723">
        <w:rPr>
          <w:rFonts w:ascii="Calibri" w:hAnsi="Calibri" w:cs="Calibri"/>
          <w:b/>
          <w:bCs/>
          <w:color w:val="C00000"/>
        </w:rPr>
        <w:t>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C04AB">
        <w:rPr>
          <w:rFonts w:ascii="Calibri" w:hAnsi="Calibri" w:cs="Calibri"/>
          <w:b/>
        </w:rPr>
        <w:t>30 zł</w:t>
      </w: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C809A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4" w:rsidRDefault="002E5D84" w:rsidP="0074050A">
      <w:r>
        <w:separator/>
      </w:r>
    </w:p>
  </w:endnote>
  <w:endnote w:type="continuationSeparator" w:id="0">
    <w:p w:rsidR="002E5D84" w:rsidRDefault="002E5D8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4" w:rsidRDefault="002E5D84" w:rsidP="0074050A">
      <w:r>
        <w:separator/>
      </w:r>
    </w:p>
  </w:footnote>
  <w:footnote w:type="continuationSeparator" w:id="0">
    <w:p w:rsidR="002E5D84" w:rsidRDefault="002E5D8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61083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2DB8-5BB8-436E-B889-1D43879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2018-09-04T08:29:00Z</cp:lastPrinted>
  <dcterms:created xsi:type="dcterms:W3CDTF">2018-08-21T11:56:00Z</dcterms:created>
  <dcterms:modified xsi:type="dcterms:W3CDTF">2018-09-07T11:31:00Z</dcterms:modified>
</cp:coreProperties>
</file>