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D77466" w:rsidP="0001253F">
                            <w:pPr>
                              <w:jc w:val="center"/>
                            </w:pPr>
                            <w:r w:rsidRPr="00D7746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Nauczanie i ocenianie ksz</w:t>
                            </w:r>
                            <w:r w:rsidR="006E7E8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tałtujące  w warunkach polskich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D77466" w:rsidP="0001253F">
                      <w:pPr>
                        <w:jc w:val="center"/>
                      </w:pPr>
                      <w:r w:rsidRPr="00D7746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Nauczanie i ocenianie ksz</w:t>
                      </w:r>
                      <w:r w:rsidR="006E7E8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tałtujące  w warunkach polskich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5476F">
        <w:rPr>
          <w:rFonts w:asciiTheme="minorHAnsi" w:hAnsiTheme="minorHAnsi" w:cs="Calibri"/>
          <w:b/>
        </w:rPr>
        <w:t>1</w:t>
      </w:r>
      <w:r w:rsidR="00D77466">
        <w:rPr>
          <w:rFonts w:asciiTheme="minorHAnsi" w:hAnsiTheme="minorHAnsi" w:cs="Calibri"/>
          <w:b/>
        </w:rPr>
        <w:t>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77466">
        <w:rPr>
          <w:rFonts w:asciiTheme="minorHAnsi" w:hAnsiTheme="minorHAnsi" w:cs="Calibri"/>
          <w:b/>
        </w:rPr>
        <w:t>D</w:t>
      </w:r>
      <w:r w:rsidR="00D77466" w:rsidRPr="00D77466">
        <w:rPr>
          <w:rFonts w:asciiTheme="minorHAnsi" w:hAnsiTheme="minorHAnsi" w:cs="Calibri"/>
          <w:b/>
        </w:rPr>
        <w:t>oradcy za</w:t>
      </w:r>
      <w:r w:rsidR="00D77466">
        <w:rPr>
          <w:rFonts w:asciiTheme="minorHAnsi" w:hAnsiTheme="minorHAnsi" w:cs="Calibri"/>
          <w:b/>
        </w:rPr>
        <w:t>wodowi, nauczyciele, wychowawcy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C51723" w:rsidRDefault="009273AC" w:rsidP="00D77466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D77466" w:rsidRPr="00D77466">
        <w:rPr>
          <w:rFonts w:asciiTheme="minorHAnsi" w:hAnsiTheme="minorHAnsi" w:cs="Calibri"/>
        </w:rPr>
        <w:t>Wzrost świadomości i umiejętności w zakresie stosowania nauczania i ocenia kształtujące jako narzędzia motywowania uczniów i wpierania w procesie zmian</w:t>
      </w:r>
      <w:r w:rsidR="00D77466">
        <w:rPr>
          <w:rFonts w:asciiTheme="minorHAnsi" w:hAnsiTheme="minorHAnsi" w:cs="Calibri"/>
        </w:rPr>
        <w:t>.</w:t>
      </w:r>
    </w:p>
    <w:p w:rsidR="00D77466" w:rsidRPr="0051457C" w:rsidRDefault="00D77466" w:rsidP="00D77466">
      <w:pPr>
        <w:ind w:left="851" w:hanging="851"/>
        <w:jc w:val="both"/>
        <w:rPr>
          <w:rFonts w:ascii="Calibri" w:eastAsia="Calibri" w:hAnsi="Calibri"/>
          <w:color w:val="000000"/>
        </w:rPr>
      </w:pPr>
    </w:p>
    <w:p w:rsidR="000A3E89" w:rsidRPr="006E7E8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6E7E80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01253F" w:rsidRDefault="009500D8" w:rsidP="00D77466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01253F">
        <w:rPr>
          <w:sz w:val="22"/>
          <w:szCs w:val="22"/>
        </w:rPr>
        <w:t xml:space="preserve"> </w:t>
      </w:r>
      <w:r w:rsidR="00D77466" w:rsidRPr="00D77466">
        <w:rPr>
          <w:rFonts w:asciiTheme="minorHAnsi" w:hAnsiTheme="minorHAnsi"/>
        </w:rPr>
        <w:t>El</w:t>
      </w:r>
      <w:r w:rsidR="00D77466">
        <w:rPr>
          <w:rFonts w:asciiTheme="minorHAnsi" w:hAnsiTheme="minorHAnsi"/>
        </w:rPr>
        <w:t xml:space="preserve">ementy nauczania kształtującego  </w:t>
      </w:r>
      <w:r w:rsidR="00D77466">
        <w:rPr>
          <w:rFonts w:ascii="Wingdings" w:hAnsi="Wingdings"/>
          <w:sz w:val="19"/>
          <w:szCs w:val="19"/>
        </w:rPr>
        <w:sym w:font="Wingdings" w:char="F077"/>
      </w:r>
      <w:r w:rsidR="00D77466">
        <w:rPr>
          <w:rFonts w:asciiTheme="minorHAnsi" w:hAnsiTheme="minorHAnsi"/>
        </w:rPr>
        <w:t xml:space="preserve"> </w:t>
      </w:r>
      <w:r w:rsidR="00D77466" w:rsidRPr="00D77466">
        <w:rPr>
          <w:rFonts w:asciiTheme="minorHAnsi" w:hAnsiTheme="minorHAnsi"/>
        </w:rPr>
        <w:t>Cele lekc</w:t>
      </w:r>
      <w:r w:rsidR="00D77466">
        <w:rPr>
          <w:rFonts w:asciiTheme="minorHAnsi" w:hAnsiTheme="minorHAnsi"/>
        </w:rPr>
        <w:t xml:space="preserve">ji i sposób ich  formułowania    </w:t>
      </w:r>
      <w:r w:rsidR="00D77466">
        <w:rPr>
          <w:rFonts w:ascii="Wingdings" w:hAnsi="Wingdings"/>
          <w:sz w:val="19"/>
          <w:szCs w:val="19"/>
        </w:rPr>
        <w:sym w:font="Wingdings" w:char="F077"/>
      </w:r>
      <w:r w:rsidR="00D77466">
        <w:rPr>
          <w:rFonts w:asciiTheme="minorHAnsi" w:hAnsiTheme="minorHAnsi"/>
        </w:rPr>
        <w:t xml:space="preserve"> </w:t>
      </w:r>
      <w:r w:rsidR="00D77466" w:rsidRPr="00D77466">
        <w:rPr>
          <w:rFonts w:asciiTheme="minorHAnsi" w:hAnsiTheme="minorHAnsi"/>
        </w:rPr>
        <w:t xml:space="preserve">Kryteria oceniania, czyli to </w:t>
      </w:r>
      <w:proofErr w:type="spellStart"/>
      <w:r w:rsidR="00D77466" w:rsidRPr="00D77466">
        <w:rPr>
          <w:rFonts w:asciiTheme="minorHAnsi" w:hAnsiTheme="minorHAnsi"/>
        </w:rPr>
        <w:t>NaCo</w:t>
      </w:r>
      <w:r w:rsidR="00D77466">
        <w:rPr>
          <w:rFonts w:asciiTheme="minorHAnsi" w:hAnsiTheme="minorHAnsi"/>
        </w:rPr>
        <w:t>BeZu</w:t>
      </w:r>
      <w:proofErr w:type="spellEnd"/>
      <w:r w:rsidR="00D77466">
        <w:rPr>
          <w:rFonts w:asciiTheme="minorHAnsi" w:hAnsiTheme="minorHAnsi"/>
        </w:rPr>
        <w:t xml:space="preserve"> – na co będę zwracać uwagę  </w:t>
      </w:r>
      <w:r w:rsidR="00D77466">
        <w:rPr>
          <w:rFonts w:ascii="Wingdings" w:hAnsi="Wingdings"/>
          <w:sz w:val="19"/>
          <w:szCs w:val="19"/>
        </w:rPr>
        <w:sym w:font="Wingdings" w:char="F077"/>
      </w:r>
      <w:r w:rsidR="00D77466">
        <w:rPr>
          <w:rFonts w:asciiTheme="minorHAnsi" w:hAnsiTheme="minorHAnsi"/>
        </w:rPr>
        <w:t xml:space="preserve"> </w:t>
      </w:r>
      <w:r w:rsidR="00D77466" w:rsidRPr="00D77466">
        <w:rPr>
          <w:rFonts w:asciiTheme="minorHAnsi" w:hAnsiTheme="minorHAnsi"/>
        </w:rPr>
        <w:t xml:space="preserve">Funkcje </w:t>
      </w:r>
      <w:r w:rsidR="00D77466">
        <w:rPr>
          <w:rFonts w:asciiTheme="minorHAnsi" w:hAnsiTheme="minorHAnsi"/>
        </w:rPr>
        <w:t xml:space="preserve">oceny sumującej i kształtującej  </w:t>
      </w:r>
      <w:r w:rsidR="00D77466">
        <w:rPr>
          <w:rFonts w:ascii="Wingdings" w:hAnsi="Wingdings"/>
          <w:sz w:val="19"/>
          <w:szCs w:val="19"/>
        </w:rPr>
        <w:sym w:font="Wingdings" w:char="F077"/>
      </w:r>
      <w:r w:rsidR="00D77466">
        <w:rPr>
          <w:rFonts w:asciiTheme="minorHAnsi" w:hAnsiTheme="minorHAnsi"/>
        </w:rPr>
        <w:t xml:space="preserve"> </w:t>
      </w:r>
      <w:r w:rsidR="00D77466" w:rsidRPr="00D77466">
        <w:rPr>
          <w:rFonts w:asciiTheme="minorHAnsi" w:hAnsiTheme="minorHAnsi"/>
        </w:rPr>
        <w:t>Atmosfera uczenia się,</w:t>
      </w:r>
      <w:r w:rsidR="00D77466">
        <w:rPr>
          <w:rFonts w:asciiTheme="minorHAnsi" w:hAnsiTheme="minorHAnsi"/>
        </w:rPr>
        <w:t xml:space="preserve"> a praca z uczniami i rodzicami  </w:t>
      </w:r>
      <w:r w:rsidR="00D77466">
        <w:rPr>
          <w:rFonts w:ascii="Wingdings" w:hAnsi="Wingdings"/>
          <w:sz w:val="19"/>
          <w:szCs w:val="19"/>
        </w:rPr>
        <w:sym w:font="Wingdings" w:char="F077"/>
      </w:r>
      <w:r w:rsidR="00D77466">
        <w:rPr>
          <w:rFonts w:asciiTheme="minorHAnsi" w:hAnsiTheme="minorHAnsi"/>
        </w:rPr>
        <w:t xml:space="preserve"> Pytania w procesie edukacyjnym  </w:t>
      </w:r>
      <w:r w:rsidR="00D77466">
        <w:rPr>
          <w:rFonts w:ascii="Wingdings" w:hAnsi="Wingdings"/>
          <w:sz w:val="19"/>
          <w:szCs w:val="19"/>
        </w:rPr>
        <w:sym w:font="Wingdings" w:char="F077"/>
      </w:r>
      <w:r w:rsidR="00D77466">
        <w:rPr>
          <w:rFonts w:asciiTheme="minorHAnsi" w:hAnsiTheme="minorHAnsi"/>
        </w:rPr>
        <w:t xml:space="preserve"> </w:t>
      </w:r>
      <w:r w:rsidR="00D77466" w:rsidRPr="00D77466">
        <w:rPr>
          <w:rFonts w:asciiTheme="minorHAnsi" w:hAnsiTheme="minorHAnsi"/>
        </w:rPr>
        <w:t>Efektywna informacja zwrotna –</w:t>
      </w:r>
      <w:r w:rsidR="00D77466">
        <w:rPr>
          <w:rFonts w:asciiTheme="minorHAnsi" w:hAnsiTheme="minorHAnsi"/>
        </w:rPr>
        <w:t xml:space="preserve"> modele i stosowanie. Ćwiczenia  </w:t>
      </w:r>
      <w:r w:rsidR="00D77466">
        <w:rPr>
          <w:rFonts w:ascii="Wingdings" w:hAnsi="Wingdings"/>
          <w:sz w:val="19"/>
          <w:szCs w:val="19"/>
        </w:rPr>
        <w:sym w:font="Wingdings" w:char="F077"/>
      </w:r>
      <w:r w:rsidR="00D77466">
        <w:rPr>
          <w:rFonts w:asciiTheme="minorHAnsi" w:hAnsiTheme="minorHAnsi"/>
        </w:rPr>
        <w:t xml:space="preserve"> </w:t>
      </w:r>
      <w:r w:rsidR="00D77466" w:rsidRPr="00D77466">
        <w:rPr>
          <w:rFonts w:asciiTheme="minorHAnsi" w:hAnsiTheme="minorHAnsi"/>
        </w:rPr>
        <w:t>Wprowadzanie samooceny i oceny koleżeńskiej</w:t>
      </w:r>
    </w:p>
    <w:p w:rsidR="00A0110F" w:rsidRPr="0001253F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77466">
        <w:rPr>
          <w:rFonts w:asciiTheme="minorHAnsi" w:hAnsiTheme="minorHAnsi" w:cs="Calibri"/>
          <w:b/>
        </w:rPr>
        <w:t>11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D77466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 xml:space="preserve"> </w:t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77466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D77466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77466">
        <w:rPr>
          <w:rFonts w:ascii="Calibri" w:hAnsi="Calibri" w:cs="Calibri"/>
          <w:bCs/>
        </w:rPr>
        <w:t xml:space="preserve">e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77466" w:rsidRPr="00D77466" w:rsidRDefault="00291D43" w:rsidP="00D77466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77466" w:rsidRPr="00D77466">
        <w:rPr>
          <w:rStyle w:val="Pogrubienie"/>
          <w:rFonts w:asciiTheme="minorHAnsi" w:hAnsiTheme="minorHAnsi"/>
        </w:rPr>
        <w:t xml:space="preserve">Iwona </w:t>
      </w:r>
      <w:proofErr w:type="spellStart"/>
      <w:r w:rsidR="00D77466" w:rsidRPr="00D77466">
        <w:rPr>
          <w:rStyle w:val="Pogrubienie"/>
          <w:rFonts w:asciiTheme="minorHAnsi" w:hAnsiTheme="minorHAnsi"/>
        </w:rPr>
        <w:t>Haba</w:t>
      </w:r>
      <w:proofErr w:type="spellEnd"/>
      <w:r w:rsidR="00D77466" w:rsidRPr="00D77466">
        <w:rPr>
          <w:rStyle w:val="Pogrubienie"/>
          <w:rFonts w:asciiTheme="minorHAnsi" w:hAnsiTheme="minorHAnsi"/>
        </w:rPr>
        <w:t xml:space="preserve"> </w:t>
      </w:r>
      <w:r w:rsidR="00D77466" w:rsidRPr="00D77466">
        <w:rPr>
          <w:rStyle w:val="Pogrubienie"/>
          <w:rFonts w:asciiTheme="minorHAnsi" w:hAnsiTheme="minorHAnsi"/>
          <w:b w:val="0"/>
        </w:rPr>
        <w:t xml:space="preserve">- psycholog, trener, konsultant, </w:t>
      </w:r>
      <w:proofErr w:type="spellStart"/>
      <w:r w:rsidR="00D77466" w:rsidRPr="00D77466">
        <w:rPr>
          <w:rStyle w:val="Pogrubienie"/>
          <w:rFonts w:asciiTheme="minorHAnsi" w:hAnsiTheme="minorHAnsi"/>
          <w:b w:val="0"/>
        </w:rPr>
        <w:t>coach</w:t>
      </w:r>
      <w:proofErr w:type="spellEnd"/>
      <w:r w:rsidR="00D77466" w:rsidRPr="00D77466">
        <w:rPr>
          <w:rStyle w:val="Pogrubienie"/>
          <w:rFonts w:asciiTheme="minorHAnsi" w:hAnsiTheme="minorHAnsi"/>
          <w:b w:val="0"/>
        </w:rPr>
        <w:t xml:space="preserve">, asesor, współpracownik -wykładowca Dolnośląskiej  Szkoły Wyższej Edukacji, Uniwersytetu Wrocławskiego – wykładowca, współpracownik WSB. Realizator zajęć z zakresu integracji zespołów, komunikacji, stresu, asertywności, technik wpływu społecznego. </w:t>
      </w:r>
    </w:p>
    <w:p w:rsidR="00CD2DB8" w:rsidRDefault="00D77466" w:rsidP="00D77466">
      <w:pPr>
        <w:jc w:val="both"/>
        <w:rPr>
          <w:rStyle w:val="Pogrubienie"/>
          <w:rFonts w:asciiTheme="minorHAnsi" w:hAnsiTheme="minorHAnsi"/>
          <w:b w:val="0"/>
        </w:rPr>
      </w:pPr>
      <w:r w:rsidRPr="00D77466">
        <w:rPr>
          <w:rStyle w:val="Pogrubienie"/>
          <w:rFonts w:asciiTheme="minorHAnsi" w:hAnsiTheme="minorHAnsi"/>
          <w:b w:val="0"/>
        </w:rPr>
        <w:t>Prowadzi zajęcia dla studentów psychologii z zakresu: trening umiejętności prowadzenia treningów grupowych. Współpracownik Centrum ORE, trener w zakresie szkoleń dla firm oraz placówek oświatowych, m.in. w zakresie radzenia sobie w sytuacjach trudnych, motywacji, oceny, komunikacji interpersonalnej, zarządzania zmianą, kreatywności, zarządzania zespołami, kontaktów z klientami, organizacji i in.</w:t>
      </w:r>
    </w:p>
    <w:p w:rsidR="00D77466" w:rsidRDefault="00D77466" w:rsidP="00D77466">
      <w:pPr>
        <w:jc w:val="both"/>
        <w:rPr>
          <w:rStyle w:val="Pogrubienie"/>
          <w:rFonts w:asciiTheme="minorHAnsi" w:hAnsiTheme="minorHAnsi"/>
          <w:b w:val="0"/>
        </w:rPr>
      </w:pPr>
    </w:p>
    <w:p w:rsidR="00D77466" w:rsidRDefault="00D77466" w:rsidP="00D77466">
      <w:pPr>
        <w:jc w:val="both"/>
        <w:rPr>
          <w:rStyle w:val="Pogrubienie"/>
          <w:rFonts w:asciiTheme="minorHAnsi" w:hAnsiTheme="minorHAnsi"/>
          <w:b w:val="0"/>
        </w:rPr>
      </w:pPr>
      <w:r w:rsidRPr="00D77466">
        <w:rPr>
          <w:rStyle w:val="Pogrubienie"/>
          <w:rFonts w:asciiTheme="minorHAnsi" w:hAnsiTheme="minorHAnsi"/>
          <w:color w:val="C00000"/>
          <w:u w:val="single"/>
        </w:rPr>
        <w:t>Kierownik merytoryczny</w:t>
      </w:r>
      <w:r w:rsidRPr="00D77466">
        <w:rPr>
          <w:rStyle w:val="Pogrubienie"/>
          <w:rFonts w:asciiTheme="minorHAnsi" w:hAnsiTheme="minorHAnsi"/>
          <w:color w:val="C00000"/>
        </w:rPr>
        <w:t xml:space="preserve"> </w:t>
      </w:r>
      <w:r w:rsidRPr="00D77466">
        <w:rPr>
          <w:rStyle w:val="Pogrubienie"/>
          <w:rFonts w:asciiTheme="minorHAnsi" w:hAnsiTheme="minorHAnsi"/>
          <w:b w:val="0"/>
        </w:rPr>
        <w:t>-</w:t>
      </w:r>
      <w:r w:rsidRPr="00D77466">
        <w:rPr>
          <w:rStyle w:val="Pogrubienie"/>
          <w:rFonts w:asciiTheme="minorHAnsi" w:hAnsiTheme="minorHAnsi"/>
        </w:rPr>
        <w:t xml:space="preserve">  Ryszarda Wiśniewska-Paluch</w:t>
      </w:r>
      <w:r w:rsidRPr="00D77466">
        <w:rPr>
          <w:rStyle w:val="Pogrubienie"/>
          <w:rFonts w:asciiTheme="minorHAnsi" w:hAnsiTheme="minorHAnsi"/>
          <w:b w:val="0"/>
        </w:rPr>
        <w:t xml:space="preserve">- konsultant </w:t>
      </w:r>
      <w:proofErr w:type="spellStart"/>
      <w:r w:rsidRPr="00D77466">
        <w:rPr>
          <w:rStyle w:val="Pogrubienie"/>
          <w:rFonts w:asciiTheme="minorHAnsi" w:hAnsiTheme="minorHAnsi"/>
          <w:b w:val="0"/>
        </w:rPr>
        <w:t>PCEiK</w:t>
      </w:r>
      <w:proofErr w:type="spellEnd"/>
      <w:r w:rsidRPr="00D77466">
        <w:rPr>
          <w:rStyle w:val="Pogrubienie"/>
          <w:rFonts w:asciiTheme="minorHAnsi" w:hAnsiTheme="minorHAnsi"/>
          <w:b w:val="0"/>
        </w:rPr>
        <w:t xml:space="preserve"> ds.</w:t>
      </w:r>
      <w:r>
        <w:rPr>
          <w:rStyle w:val="Pogrubienie"/>
          <w:rFonts w:asciiTheme="minorHAnsi" w:hAnsiTheme="minorHAnsi"/>
          <w:b w:val="0"/>
        </w:rPr>
        <w:t xml:space="preserve"> psychoedukacji, profilaktyki i </w:t>
      </w:r>
      <w:r w:rsidRPr="00D77466">
        <w:rPr>
          <w:rStyle w:val="Pogrubienie"/>
          <w:rFonts w:asciiTheme="minorHAnsi" w:hAnsiTheme="minorHAnsi"/>
          <w:b w:val="0"/>
        </w:rPr>
        <w:t xml:space="preserve">wspierania uzdolnień, doradca zawodowy  a ponadto pedagog, </w:t>
      </w:r>
      <w:proofErr w:type="spellStart"/>
      <w:r w:rsidRPr="00D77466">
        <w:rPr>
          <w:rStyle w:val="Pogrubienie"/>
          <w:rFonts w:asciiTheme="minorHAnsi" w:hAnsiTheme="minorHAnsi"/>
          <w:b w:val="0"/>
        </w:rPr>
        <w:t>oligofrenopedagog</w:t>
      </w:r>
      <w:proofErr w:type="spellEnd"/>
      <w:r w:rsidRPr="00D77466">
        <w:rPr>
          <w:rStyle w:val="Pogrubienie"/>
          <w:rFonts w:asciiTheme="minorHAnsi" w:hAnsiTheme="minorHAnsi"/>
          <w:b w:val="0"/>
        </w:rPr>
        <w:t xml:space="preserve">, </w:t>
      </w:r>
      <w:proofErr w:type="spellStart"/>
      <w:r w:rsidRPr="00D77466">
        <w:rPr>
          <w:rStyle w:val="Pogrubienie"/>
          <w:rFonts w:asciiTheme="minorHAnsi" w:hAnsiTheme="minorHAnsi"/>
          <w:b w:val="0"/>
        </w:rPr>
        <w:t>socjoterapeuta</w:t>
      </w:r>
      <w:proofErr w:type="spellEnd"/>
      <w:r w:rsidRPr="00D77466">
        <w:rPr>
          <w:rStyle w:val="Pogrubienie"/>
          <w:rFonts w:asciiTheme="minorHAnsi" w:hAnsiTheme="minorHAnsi"/>
          <w:b w:val="0"/>
        </w:rPr>
        <w:t>, szkolny doradca ds. uzależnień, sądowy kurator społeczny</w:t>
      </w:r>
    </w:p>
    <w:p w:rsidR="00D77466" w:rsidRPr="00D77466" w:rsidRDefault="00D77466" w:rsidP="00D77466">
      <w:pPr>
        <w:jc w:val="both"/>
        <w:rPr>
          <w:b/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9215A">
        <w:rPr>
          <w:rFonts w:ascii="Calibri" w:hAnsi="Calibri" w:cs="Calibri"/>
          <w:b/>
          <w:bCs/>
          <w:color w:val="C00000"/>
        </w:rPr>
        <w:t>0</w:t>
      </w:r>
      <w:r w:rsidR="002D5515">
        <w:rPr>
          <w:rFonts w:ascii="Calibri" w:hAnsi="Calibri" w:cs="Calibri"/>
          <w:b/>
          <w:bCs/>
          <w:color w:val="C00000"/>
        </w:rPr>
        <w:t>9</w:t>
      </w:r>
      <w:bookmarkStart w:id="13" w:name="_GoBack"/>
      <w:bookmarkEnd w:id="13"/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6E7E80" w:rsidRDefault="006E7E80" w:rsidP="006E7E80">
      <w:pPr>
        <w:jc w:val="right"/>
        <w:rPr>
          <w:rFonts w:ascii="Calibri" w:hAnsi="Calibri" w:cs="Calibri"/>
          <w:i/>
        </w:rPr>
      </w:pPr>
      <w:r w:rsidRPr="006E7E80">
        <w:rPr>
          <w:rFonts w:ascii="Calibri" w:hAnsi="Calibri" w:cs="Calibri"/>
          <w:i/>
        </w:rPr>
        <w:t>verte</w:t>
      </w:r>
    </w:p>
    <w:p w:rsidR="006E7E80" w:rsidRDefault="006E7E8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6E7E80">
        <w:rPr>
          <w:rFonts w:ascii="Calibri" w:hAnsi="Calibri" w:cs="Calibri"/>
          <w:b/>
        </w:rPr>
        <w:t>40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6E7E80">
        <w:rPr>
          <w:rFonts w:ascii="Calibri" w:hAnsi="Calibri" w:cs="Calibri"/>
          <w:b/>
        </w:rPr>
        <w:t>180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17" w:rsidRDefault="00AA2B17" w:rsidP="0074050A">
      <w:r>
        <w:separator/>
      </w:r>
    </w:p>
  </w:endnote>
  <w:endnote w:type="continuationSeparator" w:id="0">
    <w:p w:rsidR="00AA2B17" w:rsidRDefault="00AA2B1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17" w:rsidRDefault="00AA2B17" w:rsidP="0074050A">
      <w:r>
        <w:separator/>
      </w:r>
    </w:p>
  </w:footnote>
  <w:footnote w:type="continuationSeparator" w:id="0">
    <w:p w:rsidR="00AA2B17" w:rsidRDefault="00AA2B1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51CFC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D5515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3CBD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E7E80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36F2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A2B17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EE97-D233-4F36-B71F-3175DC06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2018-08-22T06:53:00Z</dcterms:created>
  <dcterms:modified xsi:type="dcterms:W3CDTF">2018-09-17T11:09:00Z</dcterms:modified>
</cp:coreProperties>
</file>