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EC0440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CA382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A3827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EE5CED" wp14:editId="6E6FD759">
                <wp:simplePos x="0" y="0"/>
                <wp:positionH relativeFrom="column">
                  <wp:posOffset>179705</wp:posOffset>
                </wp:positionH>
                <wp:positionV relativeFrom="paragraph">
                  <wp:posOffset>40640</wp:posOffset>
                </wp:positionV>
                <wp:extent cx="6877050" cy="14039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40" w:rsidRDefault="00EC0440" w:rsidP="00CA382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CA3827" w:rsidRDefault="00EC0440" w:rsidP="00CA382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C044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Pierwsza pomoc przedmedyczna</w:t>
                            </w:r>
                          </w:p>
                          <w:p w:rsidR="00EC0440" w:rsidRDefault="00EC0440" w:rsidP="00CA382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u w:val="single"/>
                              </w:rPr>
                            </w:pPr>
                          </w:p>
                          <w:p w:rsidR="00CA3827" w:rsidRDefault="00CA3827" w:rsidP="00CA3827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4.15pt;margin-top:3.2pt;width:54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" stroked="f">
                <v:textbox style="mso-fit-shape-to-text:t">
                  <w:txbxContent>
                    <w:p w:rsidR="00EC0440" w:rsidRDefault="00EC0440" w:rsidP="00CA382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CA3827" w:rsidRDefault="00EC0440" w:rsidP="00CA382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EC044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Pierwsza pomoc przedmedyczna</w:t>
                      </w:r>
                    </w:p>
                    <w:p w:rsidR="00EC0440" w:rsidRDefault="00EC0440" w:rsidP="00CA382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u w:val="single"/>
                        </w:rPr>
                      </w:pPr>
                    </w:p>
                    <w:p w:rsidR="00CA3827" w:rsidRDefault="00CA3827" w:rsidP="00CA3827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</w:p>
    <w:p w:rsidR="00AB3896" w:rsidRDefault="00AB389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CA3827" w:rsidRDefault="00CA3827" w:rsidP="00AB3896">
      <w:pPr>
        <w:rPr>
          <w:rFonts w:asciiTheme="minorHAnsi" w:hAnsiTheme="minorHAnsi" w:cs="Calibri"/>
          <w:b/>
          <w:i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B3896">
        <w:rPr>
          <w:rFonts w:asciiTheme="minorHAnsi" w:hAnsiTheme="minorHAnsi" w:cs="Calibri"/>
          <w:b/>
        </w:rPr>
        <w:t>1</w:t>
      </w:r>
      <w:r w:rsidR="00EC0440">
        <w:rPr>
          <w:rFonts w:asciiTheme="minorHAnsi" w:hAnsiTheme="minorHAnsi" w:cs="Calibri"/>
          <w:b/>
        </w:rPr>
        <w:t>21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B3896">
        <w:rPr>
          <w:rFonts w:asciiTheme="minorHAnsi" w:hAnsiTheme="minorHAnsi" w:cs="Calibri"/>
          <w:b/>
        </w:rPr>
        <w:t>nauczyciele</w:t>
      </w:r>
      <w:r w:rsidR="00AD7FA8">
        <w:rPr>
          <w:rFonts w:asciiTheme="minorHAnsi" w:hAnsiTheme="minorHAnsi" w:cs="Calibri"/>
          <w:b/>
        </w:rPr>
        <w:t xml:space="preserve"> wszystkich etapów edukacyjnych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436E38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A7787">
        <w:rPr>
          <w:rFonts w:ascii="Calibri" w:eastAsia="Calibri" w:hAnsi="Calibri"/>
          <w:color w:val="000000"/>
        </w:rPr>
        <w:t xml:space="preserve"> </w:t>
      </w:r>
      <w:r w:rsidR="00436E38" w:rsidRPr="00436E38">
        <w:rPr>
          <w:rFonts w:ascii="Calibri" w:eastAsia="Calibri" w:hAnsi="Calibri"/>
          <w:color w:val="000000"/>
        </w:rPr>
        <w:t>P</w:t>
      </w:r>
      <w:r w:rsidR="00436E38">
        <w:rPr>
          <w:rFonts w:ascii="Calibri" w:eastAsia="Calibri" w:hAnsi="Calibri"/>
          <w:color w:val="000000"/>
        </w:rPr>
        <w:t xml:space="preserve">ostępowanie na miejscu wypadku. </w:t>
      </w:r>
      <w:r w:rsidR="00436E38" w:rsidRPr="00436E38">
        <w:rPr>
          <w:rFonts w:ascii="Calibri" w:eastAsia="Calibri" w:hAnsi="Calibri"/>
          <w:color w:val="000000"/>
        </w:rPr>
        <w:t>Kontrola czynności ży</w:t>
      </w:r>
      <w:r w:rsidR="00436E38">
        <w:rPr>
          <w:rFonts w:ascii="Calibri" w:eastAsia="Calibri" w:hAnsi="Calibri"/>
          <w:color w:val="000000"/>
        </w:rPr>
        <w:t xml:space="preserve">ciowych. Bezpieczeństwo własne. </w:t>
      </w:r>
      <w:r w:rsidR="00436E38" w:rsidRPr="00436E38">
        <w:rPr>
          <w:rFonts w:ascii="Calibri" w:eastAsia="Calibri" w:hAnsi="Calibri"/>
          <w:color w:val="000000"/>
        </w:rPr>
        <w:t>Pos</w:t>
      </w:r>
      <w:r w:rsidR="00436E38">
        <w:rPr>
          <w:rFonts w:ascii="Calibri" w:eastAsia="Calibri" w:hAnsi="Calibri"/>
          <w:color w:val="000000"/>
        </w:rPr>
        <w:t xml:space="preserve">tępowanie z osobą nieprzytomną. </w:t>
      </w:r>
      <w:r w:rsidR="00436E38" w:rsidRPr="00436E38">
        <w:rPr>
          <w:rFonts w:ascii="Calibri" w:eastAsia="Calibri" w:hAnsi="Calibri"/>
          <w:color w:val="000000"/>
        </w:rPr>
        <w:t>Res</w:t>
      </w:r>
      <w:r w:rsidR="00436E38">
        <w:rPr>
          <w:rFonts w:ascii="Calibri" w:eastAsia="Calibri" w:hAnsi="Calibri"/>
          <w:color w:val="000000"/>
        </w:rPr>
        <w:t xml:space="preserve">uscytacja krążeniowo-oddechowa. </w:t>
      </w:r>
      <w:r w:rsidR="00436E38" w:rsidRPr="00436E38">
        <w:rPr>
          <w:rFonts w:ascii="Calibri" w:eastAsia="Calibri" w:hAnsi="Calibri"/>
          <w:color w:val="000000"/>
        </w:rPr>
        <w:t>Resuscytacja krążeniowo-odd</w:t>
      </w:r>
      <w:r w:rsidR="00436E38">
        <w:rPr>
          <w:rFonts w:ascii="Calibri" w:eastAsia="Calibri" w:hAnsi="Calibri"/>
          <w:color w:val="000000"/>
        </w:rPr>
        <w:t xml:space="preserve">echowa z użyciem defibrylatora. </w:t>
      </w:r>
      <w:r w:rsidR="00436E38" w:rsidRPr="00436E38">
        <w:rPr>
          <w:rFonts w:ascii="Calibri" w:eastAsia="Calibri" w:hAnsi="Calibri"/>
          <w:color w:val="000000"/>
        </w:rPr>
        <w:t>Opatryw</w:t>
      </w:r>
      <w:r w:rsidR="00436E38">
        <w:rPr>
          <w:rFonts w:ascii="Calibri" w:eastAsia="Calibri" w:hAnsi="Calibri"/>
          <w:color w:val="000000"/>
        </w:rPr>
        <w:t xml:space="preserve">anie ran i tamowanie krwotoków. </w:t>
      </w:r>
      <w:r w:rsidR="00436E38" w:rsidRPr="00436E38">
        <w:rPr>
          <w:rFonts w:ascii="Calibri" w:eastAsia="Calibri" w:hAnsi="Calibri"/>
          <w:color w:val="000000"/>
        </w:rPr>
        <w:t>Postępowanie w rożnych sytuacjach zagrożenia zdrowia lub życia.</w:t>
      </w:r>
    </w:p>
    <w:p w:rsidR="000A7787" w:rsidRPr="0051457C" w:rsidRDefault="000A7787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CA3827" w:rsidRPr="00436E38" w:rsidRDefault="005D1AB0" w:rsidP="00436E3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 w:rsidRPr="00436E38">
        <w:rPr>
          <w:rFonts w:asciiTheme="minorHAnsi" w:hAnsiTheme="minorHAnsi"/>
        </w:rPr>
        <w:t>Motywacja</w:t>
      </w:r>
      <w:r w:rsidR="00436E38">
        <w:rPr>
          <w:rFonts w:asciiTheme="minorHAnsi" w:hAnsiTheme="minorHAnsi"/>
        </w:rPr>
        <w:t xml:space="preserve"> do udzielenia pierwszej pomocy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Bezpieczeństwo własne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Bezpieczeństwo poszkodowanego 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Zabezpieczenie miejsca wypadku   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Wezwanie pierwszej pomocy 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 w:rsidRPr="00436E38">
        <w:rPr>
          <w:rFonts w:asciiTheme="minorHAnsi" w:hAnsiTheme="minorHAnsi"/>
        </w:rPr>
        <w:t>Kontrola czynn</w:t>
      </w:r>
      <w:r w:rsidR="00436E38">
        <w:rPr>
          <w:rFonts w:asciiTheme="minorHAnsi" w:hAnsiTheme="minorHAnsi"/>
        </w:rPr>
        <w:t xml:space="preserve">ości życiowych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Utrata przytomności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Omdlenia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 w:rsidRPr="00436E38">
        <w:rPr>
          <w:rFonts w:asciiTheme="minorHAnsi" w:hAnsiTheme="minorHAnsi"/>
        </w:rPr>
        <w:t>Re</w:t>
      </w:r>
      <w:r w:rsidR="00436E38">
        <w:rPr>
          <w:rFonts w:asciiTheme="minorHAnsi" w:hAnsiTheme="minorHAnsi"/>
        </w:rPr>
        <w:t xml:space="preserve">suscytacja krążeniowo-oddechowa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Opatrywanie ran  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 xml:space="preserve"> Zadławienia     </w:t>
      </w:r>
      <w:r w:rsidR="00436E38" w:rsidRPr="00791DD6">
        <w:rPr>
          <w:rFonts w:ascii="Wingdings" w:hAnsi="Wingdings"/>
          <w:sz w:val="19"/>
          <w:szCs w:val="19"/>
        </w:rPr>
        <w:t></w:t>
      </w:r>
      <w:r w:rsidR="00436E38">
        <w:rPr>
          <w:rFonts w:ascii="Wingdings" w:hAnsi="Wingdings"/>
          <w:sz w:val="19"/>
          <w:szCs w:val="19"/>
        </w:rPr>
        <w:t></w:t>
      </w:r>
      <w:r w:rsidR="00436E38">
        <w:rPr>
          <w:rFonts w:asciiTheme="minorHAnsi" w:hAnsiTheme="minorHAnsi"/>
        </w:rPr>
        <w:t>Uszkodzenia kości i stawów</w:t>
      </w:r>
    </w:p>
    <w:p w:rsidR="00436E38" w:rsidRDefault="00436E38" w:rsidP="00436E38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436E38" w:rsidRPr="00436E38" w:rsidRDefault="009E1F89" w:rsidP="00436E38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36E38" w:rsidRPr="00436E38">
        <w:rPr>
          <w:rFonts w:asciiTheme="minorHAnsi" w:hAnsiTheme="minorHAnsi" w:cs="Calibri"/>
          <w:b/>
        </w:rPr>
        <w:t>2</w:t>
      </w:r>
      <w:r w:rsidR="00436E38">
        <w:rPr>
          <w:rFonts w:asciiTheme="minorHAnsi" w:hAnsiTheme="minorHAnsi" w:cs="Calibri"/>
          <w:b/>
        </w:rPr>
        <w:t>1</w:t>
      </w:r>
      <w:r w:rsidR="00436E38" w:rsidRPr="00436E38">
        <w:rPr>
          <w:rFonts w:asciiTheme="minorHAnsi" w:hAnsiTheme="minorHAnsi" w:cs="Calibri"/>
          <w:b/>
        </w:rPr>
        <w:t xml:space="preserve"> lutego 201</w:t>
      </w:r>
      <w:r w:rsidR="00436E38">
        <w:rPr>
          <w:rFonts w:asciiTheme="minorHAnsi" w:hAnsiTheme="minorHAnsi" w:cs="Calibri"/>
          <w:b/>
        </w:rPr>
        <w:t>8</w:t>
      </w:r>
      <w:r w:rsidR="00436E38" w:rsidRPr="00436E38">
        <w:rPr>
          <w:rFonts w:asciiTheme="minorHAnsi" w:hAnsiTheme="minorHAnsi" w:cs="Calibri"/>
          <w:b/>
        </w:rPr>
        <w:t xml:space="preserve"> r. o godzinie:  15.30  - I część</w:t>
      </w:r>
    </w:p>
    <w:p w:rsidR="00436E38" w:rsidRPr="00436E38" w:rsidRDefault="00436E38" w:rsidP="00436E38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436E38">
        <w:rPr>
          <w:rFonts w:asciiTheme="minorHAnsi" w:hAnsiTheme="minorHAnsi" w:cs="Calibri"/>
          <w:b/>
        </w:rPr>
        <w:t xml:space="preserve">               </w:t>
      </w:r>
      <w:r>
        <w:rPr>
          <w:rFonts w:asciiTheme="minorHAnsi" w:hAnsiTheme="minorHAnsi" w:cs="Calibri"/>
          <w:b/>
        </w:rPr>
        <w:t xml:space="preserve">                         </w:t>
      </w:r>
      <w:r w:rsidRPr="00436E38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28 lutego</w:t>
      </w:r>
      <w:r w:rsidRPr="00436E38">
        <w:rPr>
          <w:rFonts w:asciiTheme="minorHAnsi" w:hAnsiTheme="minorHAnsi" w:cs="Calibri"/>
          <w:b/>
        </w:rPr>
        <w:t xml:space="preserve"> 201</w:t>
      </w:r>
      <w:r>
        <w:rPr>
          <w:rFonts w:asciiTheme="minorHAnsi" w:hAnsiTheme="minorHAnsi" w:cs="Calibri"/>
          <w:b/>
        </w:rPr>
        <w:t>8</w:t>
      </w:r>
      <w:r w:rsidRPr="00436E38">
        <w:rPr>
          <w:rFonts w:asciiTheme="minorHAnsi" w:hAnsiTheme="minorHAnsi" w:cs="Calibri"/>
          <w:b/>
        </w:rPr>
        <w:t xml:space="preserve"> r. o godzinie: 15.30  - II część</w:t>
      </w:r>
    </w:p>
    <w:p w:rsidR="00914BF5" w:rsidRDefault="00914BF5" w:rsidP="001B1B4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436E38" w:rsidRPr="00436E38">
        <w:rPr>
          <w:rFonts w:ascii="Calibri" w:hAnsi="Calibri" w:cs="Calibri"/>
        </w:rPr>
        <w:t>2 spotkania x 4 godziny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Default="00291D43" w:rsidP="00436E3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436E38" w:rsidRPr="00436E38">
        <w:rPr>
          <w:rFonts w:ascii="Calibri" w:hAnsi="Calibri" w:cs="Calibri"/>
          <w:i/>
          <w:color w:val="C00000"/>
        </w:rPr>
        <w:t xml:space="preserve">Dariusz Kozłowski </w:t>
      </w:r>
      <w:r w:rsidR="00436E38" w:rsidRPr="00436E38">
        <w:rPr>
          <w:rFonts w:ascii="Calibri" w:hAnsi="Calibri" w:cs="Calibri"/>
        </w:rPr>
        <w:t>- edukator w zakresie pierwszej pomocy przedmedycznej.</w:t>
      </w: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D7FA8" w:rsidRDefault="00AD7FA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36E38">
        <w:rPr>
          <w:rFonts w:ascii="Calibri" w:hAnsi="Calibri" w:cs="Calibri"/>
          <w:b/>
          <w:bCs/>
          <w:color w:val="C00000"/>
        </w:rPr>
        <w:t>16</w:t>
      </w:r>
      <w:r w:rsidR="001A6B3E">
        <w:rPr>
          <w:rFonts w:ascii="Calibri" w:hAnsi="Calibri" w:cs="Calibri"/>
          <w:b/>
          <w:bCs/>
          <w:color w:val="C00000"/>
        </w:rPr>
        <w:t>.02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206BF" w:rsidRDefault="00F206BF" w:rsidP="00037025">
      <w:pPr>
        <w:jc w:val="both"/>
        <w:rPr>
          <w:rFonts w:ascii="Calibri" w:hAnsi="Calibri" w:cs="Calibri"/>
          <w:b/>
          <w:bCs/>
          <w:color w:val="C00000"/>
        </w:rPr>
      </w:pPr>
      <w:bookmarkStart w:id="13" w:name="_GoBack"/>
      <w:bookmarkEnd w:id="13"/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436E38">
        <w:rPr>
          <w:rFonts w:ascii="Calibri" w:hAnsi="Calibri" w:cs="Calibri"/>
          <w:b/>
        </w:rPr>
        <w:t>80</w:t>
      </w:r>
      <w:r w:rsidR="00282E69">
        <w:rPr>
          <w:rFonts w:ascii="Calibri" w:hAnsi="Calibri" w:cs="Calibri"/>
          <w:b/>
        </w:rPr>
        <w:t xml:space="preserve"> zł</w:t>
      </w:r>
    </w:p>
    <w:p w:rsidR="00F206BF" w:rsidRPr="003F197B" w:rsidRDefault="00037025" w:rsidP="003F197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436E38">
        <w:rPr>
          <w:rFonts w:ascii="Calibri" w:hAnsi="Calibri" w:cs="Calibri"/>
          <w:b/>
        </w:rPr>
        <w:t>60</w:t>
      </w:r>
      <w:r w:rsidRPr="00F206BF">
        <w:rPr>
          <w:rFonts w:ascii="Calibri" w:hAnsi="Calibri" w:cs="Calibri"/>
          <w:b/>
        </w:rPr>
        <w:t xml:space="preserve"> zł</w:t>
      </w: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2E" w:rsidRDefault="001A5B2E" w:rsidP="0074050A">
      <w:r>
        <w:separator/>
      </w:r>
    </w:p>
  </w:endnote>
  <w:endnote w:type="continuationSeparator" w:id="0">
    <w:p w:rsidR="001A5B2E" w:rsidRDefault="001A5B2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2E" w:rsidRDefault="001A5B2E" w:rsidP="0074050A">
      <w:r>
        <w:separator/>
      </w:r>
    </w:p>
  </w:footnote>
  <w:footnote w:type="continuationSeparator" w:id="0">
    <w:p w:rsidR="001A5B2E" w:rsidRDefault="001A5B2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69F6"/>
    <w:rsid w:val="00076024"/>
    <w:rsid w:val="00083782"/>
    <w:rsid w:val="000A3E89"/>
    <w:rsid w:val="000A772C"/>
    <w:rsid w:val="000A7787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5B54"/>
    <w:rsid w:val="00186FA2"/>
    <w:rsid w:val="001A43FC"/>
    <w:rsid w:val="001A5B19"/>
    <w:rsid w:val="001A5B2E"/>
    <w:rsid w:val="001A6B3E"/>
    <w:rsid w:val="001A75D5"/>
    <w:rsid w:val="001B1B4F"/>
    <w:rsid w:val="001E46C7"/>
    <w:rsid w:val="001E4CA5"/>
    <w:rsid w:val="00215CFC"/>
    <w:rsid w:val="0022115B"/>
    <w:rsid w:val="00244564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944BC"/>
    <w:rsid w:val="003A2B26"/>
    <w:rsid w:val="003A7B7F"/>
    <w:rsid w:val="003B5D48"/>
    <w:rsid w:val="003F197B"/>
    <w:rsid w:val="003F68B0"/>
    <w:rsid w:val="00413ADE"/>
    <w:rsid w:val="00436E38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96DC6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4BF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3896"/>
    <w:rsid w:val="00AB4BDE"/>
    <w:rsid w:val="00AC5A13"/>
    <w:rsid w:val="00AC63BA"/>
    <w:rsid w:val="00AD7FA8"/>
    <w:rsid w:val="00B04DE3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C6EA5"/>
    <w:rsid w:val="00BD3CDE"/>
    <w:rsid w:val="00BD50F5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0AC9"/>
    <w:rsid w:val="00CA3827"/>
    <w:rsid w:val="00CA7AAF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B2CCD"/>
    <w:rsid w:val="00EC0440"/>
    <w:rsid w:val="00ED50ED"/>
    <w:rsid w:val="00EF124B"/>
    <w:rsid w:val="00F073F2"/>
    <w:rsid w:val="00F145A0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84F09"/>
    <w:rsid w:val="00F903C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CC82-6165-4D7D-9C32-DD2D23E9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2018-01-03T17:31:00Z</cp:lastPrinted>
  <dcterms:created xsi:type="dcterms:W3CDTF">2018-01-11T08:37:00Z</dcterms:created>
  <dcterms:modified xsi:type="dcterms:W3CDTF">2018-01-11T08:37:00Z</dcterms:modified>
</cp:coreProperties>
</file>