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 a p r a s z a m y</w:t>
      </w:r>
    </w:p>
    <w:p w:rsidR="00AC6B20" w:rsidRDefault="00AC6B20" w:rsidP="00AC6B20">
      <w:pPr>
        <w:jc w:val="center"/>
        <w:rPr>
          <w:rFonts w:ascii="Calibri" w:hAnsi="Calibri" w:cs="Calibri"/>
          <w:sz w:val="26"/>
          <w:szCs w:val="26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 ubiegający</w:t>
      </w:r>
      <w:r w:rsidR="00761E30">
        <w:rPr>
          <w:rFonts w:ascii="Calibri" w:hAnsi="Calibri" w:cs="Calibri"/>
          <w:b/>
          <w:sz w:val="28"/>
          <w:szCs w:val="28"/>
          <w:lang w:eastAsia="en-US"/>
        </w:rPr>
        <w:t>ch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się o awans na stopień nauczyciela </w:t>
      </w:r>
      <w:r w:rsidR="00686E3B">
        <w:rPr>
          <w:rFonts w:ascii="Calibri" w:hAnsi="Calibri" w:cs="Calibri"/>
          <w:b/>
          <w:sz w:val="28"/>
          <w:szCs w:val="28"/>
          <w:lang w:eastAsia="en-US"/>
        </w:rPr>
        <w:t>mianowanego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 kurs doskonalący:</w:t>
      </w:r>
    </w:p>
    <w:p w:rsidR="00AC6B20" w:rsidRDefault="00AC6B20" w:rsidP="00AC6B20">
      <w:pPr>
        <w:rPr>
          <w:rFonts w:ascii="Calibri" w:hAnsi="Calibri" w:cs="Calibri"/>
          <w:b/>
          <w:bCs/>
          <w:kern w:val="36"/>
          <w:sz w:val="18"/>
          <w:szCs w:val="18"/>
        </w:rPr>
      </w:pPr>
      <w:r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Nauczyciel </w:t>
      </w:r>
      <w:r w:rsidR="00686E3B">
        <w:rPr>
          <w:rFonts w:ascii="Calibri" w:hAnsi="Calibri" w:cs="Calibri"/>
          <w:b/>
          <w:color w:val="C00000"/>
          <w:sz w:val="40"/>
          <w:szCs w:val="40"/>
        </w:rPr>
        <w:t>kontraktowy</w:t>
      </w:r>
      <w:r>
        <w:rPr>
          <w:rFonts w:ascii="Calibri" w:hAnsi="Calibri" w:cs="Calibri"/>
          <w:b/>
          <w:color w:val="C00000"/>
          <w:sz w:val="40"/>
          <w:szCs w:val="40"/>
        </w:rPr>
        <w:t xml:space="preserve"> w procesie awansu zawodowego 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na stopień nauczyciela </w:t>
      </w:r>
      <w:r w:rsidR="00686E3B">
        <w:rPr>
          <w:rFonts w:ascii="Calibri" w:hAnsi="Calibri" w:cs="Calibri"/>
          <w:b/>
          <w:color w:val="C00000"/>
          <w:sz w:val="40"/>
          <w:szCs w:val="40"/>
        </w:rPr>
        <w:t>mianowanego</w:t>
      </w:r>
      <w:r>
        <w:rPr>
          <w:rFonts w:ascii="Calibri" w:hAnsi="Calibri" w:cs="Calibri"/>
          <w:b/>
          <w:color w:val="C00000"/>
          <w:sz w:val="40"/>
          <w:szCs w:val="40"/>
        </w:rPr>
        <w:t>.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AC6B20" w:rsidRDefault="00AC6B20" w:rsidP="00AC6B2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>
        <w:rPr>
          <w:rFonts w:ascii="Calibri" w:hAnsi="Calibri" w:cs="Calibri"/>
          <w:b/>
          <w:bCs/>
          <w:color w:val="C00000"/>
          <w:kern w:val="36"/>
          <w:u w:val="single"/>
        </w:rPr>
        <w:t>KOD: W1</w:t>
      </w:r>
      <w:r w:rsidR="00686E3B">
        <w:rPr>
          <w:rFonts w:ascii="Calibri" w:hAnsi="Calibri" w:cs="Calibri"/>
          <w:b/>
          <w:bCs/>
          <w:color w:val="C00000"/>
          <w:kern w:val="36"/>
          <w:u w:val="single"/>
        </w:rPr>
        <w:t>7</w:t>
      </w:r>
    </w:p>
    <w:p w:rsidR="00AC6B20" w:rsidRDefault="00AC6B20" w:rsidP="00AC6B20">
      <w:pPr>
        <w:rPr>
          <w:rFonts w:ascii="Calibri" w:hAnsi="Calibri" w:cs="Calibri"/>
          <w:b/>
          <w:u w:val="single"/>
        </w:rPr>
      </w:pP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 </w:t>
      </w:r>
      <w:r w:rsidR="00686E3B">
        <w:rPr>
          <w:rFonts w:ascii="Calibri" w:hAnsi="Calibri" w:cs="Calibri"/>
          <w:b/>
        </w:rPr>
        <w:t>2</w:t>
      </w:r>
      <w:r w:rsidR="00B930CB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</w:t>
      </w:r>
      <w:r w:rsidR="00686E3B">
        <w:rPr>
          <w:rFonts w:ascii="Calibri" w:hAnsi="Calibri" w:cs="Calibri"/>
          <w:b/>
        </w:rPr>
        <w:t>listopada</w:t>
      </w:r>
      <w:r>
        <w:rPr>
          <w:rFonts w:ascii="Calibri" w:hAnsi="Calibri" w:cs="Calibri"/>
          <w:b/>
        </w:rPr>
        <w:t xml:space="preserve"> 2017 r. godz. 16.00 </w:t>
      </w: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</w:t>
      </w:r>
      <w:r w:rsidR="00B930CB">
        <w:rPr>
          <w:rFonts w:ascii="Calibri" w:hAnsi="Calibri" w:cs="Calibri"/>
          <w:b/>
        </w:rPr>
        <w:t xml:space="preserve">5 grudnia </w:t>
      </w:r>
      <w:r>
        <w:rPr>
          <w:rFonts w:ascii="Calibri" w:hAnsi="Calibri" w:cs="Calibri"/>
          <w:b/>
        </w:rPr>
        <w:t>2017 r. godz. 16.00</w:t>
      </w:r>
    </w:p>
    <w:p w:rsidR="00AC6B20" w:rsidRDefault="00AC6B20" w:rsidP="00AC6B20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6915FE">
        <w:rPr>
          <w:rFonts w:ascii="Calibri" w:hAnsi="Calibri" w:cs="Calibri"/>
          <w:b/>
        </w:rPr>
        <w:t xml:space="preserve"> </w:t>
      </w:r>
      <w:r w:rsidR="00B930CB">
        <w:rPr>
          <w:rFonts w:ascii="Calibri" w:hAnsi="Calibri" w:cs="Calibri"/>
          <w:b/>
        </w:rPr>
        <w:t>12</w:t>
      </w:r>
      <w:r w:rsidR="00686E3B">
        <w:rPr>
          <w:rFonts w:ascii="Calibri" w:hAnsi="Calibri" w:cs="Calibri"/>
          <w:b/>
        </w:rPr>
        <w:t xml:space="preserve"> grudnia</w:t>
      </w:r>
      <w:r>
        <w:rPr>
          <w:rFonts w:ascii="Calibri" w:hAnsi="Calibri" w:cs="Calibri"/>
          <w:b/>
        </w:rPr>
        <w:t xml:space="preserve"> 2017 r. godz. 16.00</w:t>
      </w:r>
    </w:p>
    <w:p w:rsidR="00AC6B20" w:rsidRDefault="00AC6B20" w:rsidP="00AC6B20">
      <w:pPr>
        <w:rPr>
          <w:rFonts w:ascii="Calibri" w:hAnsi="Calibri" w:cs="Calibri"/>
          <w:b/>
          <w:sz w:val="10"/>
          <w:szCs w:val="10"/>
        </w:rPr>
      </w:pPr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Czas trwania: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12 godzin dydaktycznych </w:t>
      </w:r>
      <w:r w:rsidR="00782D1D">
        <w:rPr>
          <w:rFonts w:ascii="Calibri" w:hAnsi="Calibri" w:cs="Calibri"/>
        </w:rPr>
        <w:t>(3 spotkania po 4 godz. dyd.)</w:t>
      </w:r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AC6B20" w:rsidRDefault="00AC6B20" w:rsidP="00AC6B20">
      <w:pPr>
        <w:rPr>
          <w:rFonts w:ascii="Calibri" w:hAnsi="Calibri" w:cs="Verdana"/>
        </w:rPr>
      </w:pPr>
      <w:r>
        <w:rPr>
          <w:rFonts w:ascii="Calibri" w:hAnsi="Calibri" w:cs="Calibri"/>
          <w:b/>
          <w:u w:val="single"/>
        </w:rPr>
        <w:t>Osoba prowadząca: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Verdana"/>
          <w:color w:val="FF0000"/>
        </w:rPr>
        <w:t xml:space="preserve">Małgorzata </w:t>
      </w:r>
      <w:proofErr w:type="spellStart"/>
      <w:r>
        <w:rPr>
          <w:rFonts w:ascii="Calibri" w:hAnsi="Calibri" w:cs="Verdana"/>
          <w:color w:val="FF0000"/>
        </w:rPr>
        <w:t>Kinstler</w:t>
      </w:r>
      <w:proofErr w:type="spellEnd"/>
      <w:r>
        <w:rPr>
          <w:rFonts w:ascii="Calibri" w:hAnsi="Calibri" w:cs="Verdana"/>
        </w:rPr>
        <w:t xml:space="preserve">, edukator, wieloletni doradca metodyczny,  ekspert MEN ds. awansu zawodowego nauczycieli,  konsultant </w:t>
      </w:r>
      <w:proofErr w:type="spellStart"/>
      <w:r>
        <w:rPr>
          <w:rFonts w:ascii="Calibri" w:hAnsi="Calibri" w:cs="Verdana"/>
        </w:rPr>
        <w:t>PCEiK</w:t>
      </w:r>
      <w:proofErr w:type="spellEnd"/>
      <w:r>
        <w:rPr>
          <w:rFonts w:ascii="Calibri" w:hAnsi="Calibri" w:cs="Verdana"/>
        </w:rPr>
        <w:t xml:space="preserve"> ds. awansu zawodowego.</w:t>
      </w:r>
    </w:p>
    <w:p w:rsidR="00AC6B20" w:rsidRDefault="00AC6B20" w:rsidP="00AC6B20">
      <w:pPr>
        <w:rPr>
          <w:rFonts w:ascii="Verdana" w:hAnsi="Verdana" w:cs="Verdana"/>
          <w:sz w:val="18"/>
          <w:szCs w:val="18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Cele główne:</w:t>
      </w:r>
      <w:r>
        <w:rPr>
          <w:rFonts w:ascii="Calibri" w:hAnsi="Calibri" w:cs="Calibri"/>
        </w:rPr>
        <w:t xml:space="preserve"> </w:t>
      </w:r>
    </w:p>
    <w:p w:rsidR="00AC6B20" w:rsidRDefault="005A406C" w:rsidP="00AC6B20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Pomoc nauczycielowi w realizacji zadań zaplanowanych na czas realizacji stażu w procesie aw</w:t>
      </w:r>
      <w:r>
        <w:rPr>
          <w:rFonts w:ascii="Calibri" w:hAnsi="Calibri" w:cs="Calibri"/>
        </w:rPr>
        <w:t>ansu na nauczyciela mianowanego</w:t>
      </w:r>
      <w:r w:rsidR="00AC6B20">
        <w:rPr>
          <w:rFonts w:ascii="Calibri" w:hAnsi="Calibri" w:cs="Calibri"/>
        </w:rPr>
        <w:t>.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Cele szczegółowe: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Uczestnik szkolenia będzie wiedział: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-jak dokumentować własną aktywność;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 xml:space="preserve">-jak współpracować z opiekunem stażu i innymi pracownikami 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-jak napisać plan i sprawozdanie za okres stażu</w:t>
      </w:r>
    </w:p>
    <w:p w:rsidR="00AC6B20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-jak pracuje komisja egzaminacyjna</w:t>
      </w:r>
    </w:p>
    <w:p w:rsid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>- awans zawodowy w prawie oświatowym;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 xml:space="preserve">  - konstruowanie planu rozwoju zawodowego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 xml:space="preserve">  - opracowanie sprawozdania z przebiegu i realizacji stażu</w:t>
      </w:r>
    </w:p>
    <w:p w:rsidR="005A406C" w:rsidRPr="005A406C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 xml:space="preserve">  - sztuka profesjonalnej prezentacji </w:t>
      </w:r>
    </w:p>
    <w:p w:rsidR="00AC6B20" w:rsidRDefault="005A406C" w:rsidP="005A406C">
      <w:pPr>
        <w:autoSpaceDE w:val="0"/>
        <w:autoSpaceDN w:val="0"/>
        <w:adjustRightInd w:val="0"/>
        <w:rPr>
          <w:rFonts w:ascii="Calibri" w:hAnsi="Calibri" w:cs="Calibri"/>
        </w:rPr>
      </w:pPr>
      <w:r w:rsidRPr="005A406C">
        <w:rPr>
          <w:rFonts w:ascii="Calibri" w:hAnsi="Calibri" w:cs="Calibri"/>
        </w:rPr>
        <w:t xml:space="preserve">  - praca komisji egzaminacyjnej</w:t>
      </w:r>
    </w:p>
    <w:p w:rsidR="00AC6B20" w:rsidRPr="00AC6B20" w:rsidRDefault="00AC6B20" w:rsidP="00AC6B20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AC6B20">
        <w:rPr>
          <w:rFonts w:ascii="Calibri" w:hAnsi="Calibri" w:cs="Calibri"/>
          <w:i/>
        </w:rPr>
        <w:t>verte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C55ABB" w:rsidRDefault="00C55ABB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C55ABB" w:rsidRDefault="00C55ABB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087CE0" w:rsidRPr="00087CE0" w:rsidRDefault="00087CE0" w:rsidP="00087CE0">
      <w:pPr>
        <w:jc w:val="center"/>
        <w:rPr>
          <w:rFonts w:ascii="Calibri" w:hAnsi="Calibri" w:cs="Calibri"/>
          <w:b/>
          <w:bCs/>
        </w:rPr>
      </w:pPr>
      <w:r w:rsidRPr="00087CE0">
        <w:rPr>
          <w:rFonts w:ascii="Calibri" w:hAnsi="Calibri" w:cs="Calibri"/>
          <w:b/>
          <w:bCs/>
        </w:rPr>
        <w:t>UWAGA!</w:t>
      </w:r>
    </w:p>
    <w:p w:rsidR="00087CE0" w:rsidRPr="00087CE0" w:rsidRDefault="00087CE0" w:rsidP="00087CE0">
      <w:pPr>
        <w:jc w:val="center"/>
        <w:rPr>
          <w:rFonts w:ascii="Calibri" w:hAnsi="Calibri" w:cs="Calibri"/>
          <w:b/>
          <w:bCs/>
        </w:rPr>
      </w:pPr>
      <w:r w:rsidRPr="00087CE0">
        <w:rPr>
          <w:rFonts w:ascii="Calibri" w:hAnsi="Calibri" w:cs="Calibri"/>
          <w:b/>
          <w:bCs/>
        </w:rPr>
        <w:t>Prosimy o zabranie z</w:t>
      </w:r>
      <w:r>
        <w:rPr>
          <w:rFonts w:ascii="Calibri" w:hAnsi="Calibri" w:cs="Calibri"/>
          <w:b/>
          <w:bCs/>
        </w:rPr>
        <w:t>e</w:t>
      </w:r>
      <w:r w:rsidRPr="00087CE0">
        <w:rPr>
          <w:rFonts w:ascii="Calibri" w:hAnsi="Calibri" w:cs="Calibri"/>
          <w:b/>
          <w:bCs/>
        </w:rPr>
        <w:t xml:space="preserve"> sobą papierowej teczki.</w:t>
      </w:r>
    </w:p>
    <w:p w:rsidR="00087CE0" w:rsidRDefault="00087CE0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930CB">
        <w:rPr>
          <w:rFonts w:ascii="Calibri" w:hAnsi="Calibri" w:cs="Calibri"/>
          <w:b/>
          <w:bCs/>
          <w:color w:val="C00000"/>
        </w:rPr>
        <w:t>24</w:t>
      </w:r>
      <w:r w:rsidR="005A406C">
        <w:rPr>
          <w:rFonts w:ascii="Calibri" w:hAnsi="Calibri" w:cs="Calibri"/>
          <w:b/>
          <w:bCs/>
          <w:color w:val="C00000"/>
        </w:rPr>
        <w:t>.11</w:t>
      </w:r>
      <w:r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go </w:t>
      </w:r>
      <w:r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>
        <w:rPr>
          <w:rFonts w:ascii="Calibri" w:hAnsi="Calibri" w:cs="Calibri"/>
          <w:b/>
          <w:bCs/>
          <w:color w:val="C00000"/>
        </w:rPr>
        <w:t>PCEiK</w:t>
      </w:r>
      <w:proofErr w:type="spellEnd"/>
      <w:r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C6B20" w:rsidRDefault="00AC6B20" w:rsidP="00AC6B20">
      <w:pPr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Odpłatność:</w:t>
      </w:r>
    </w:p>
    <w:p w:rsidR="00C55ABB" w:rsidRDefault="00C55ABB" w:rsidP="00C55ABB">
      <w:pPr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60 zł</w:t>
      </w:r>
    </w:p>
    <w:p w:rsidR="00761E30" w:rsidRPr="006B4A7B" w:rsidRDefault="00761E30" w:rsidP="00C55ABB">
      <w:pPr>
        <w:ind w:left="360" w:hanging="360"/>
        <w:jc w:val="both"/>
        <w:rPr>
          <w:rFonts w:ascii="Calibri" w:hAnsi="Calibri" w:cs="Calibri"/>
        </w:rPr>
      </w:pPr>
    </w:p>
    <w:p w:rsidR="00C55ABB" w:rsidRPr="007D7576" w:rsidRDefault="00C55ABB" w:rsidP="00C55ABB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6B4A7B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200</w:t>
      </w:r>
      <w:r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  <w:bookmarkStart w:id="13" w:name="_GoBack"/>
      <w:bookmarkEnd w:id="13"/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2D" w:rsidRDefault="0015092D" w:rsidP="0074050A">
      <w:r>
        <w:separator/>
      </w:r>
    </w:p>
  </w:endnote>
  <w:endnote w:type="continuationSeparator" w:id="0">
    <w:p w:rsidR="0015092D" w:rsidRDefault="0015092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2D" w:rsidRDefault="0015092D" w:rsidP="0074050A">
      <w:r>
        <w:separator/>
      </w:r>
    </w:p>
  </w:footnote>
  <w:footnote w:type="continuationSeparator" w:id="0">
    <w:p w:rsidR="0015092D" w:rsidRDefault="0015092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3C0E"/>
    <w:rsid w:val="000244A2"/>
    <w:rsid w:val="000246A0"/>
    <w:rsid w:val="0002502F"/>
    <w:rsid w:val="000363EA"/>
    <w:rsid w:val="0003671B"/>
    <w:rsid w:val="00040A55"/>
    <w:rsid w:val="000512E9"/>
    <w:rsid w:val="00076024"/>
    <w:rsid w:val="00087CE0"/>
    <w:rsid w:val="000A772C"/>
    <w:rsid w:val="000B5012"/>
    <w:rsid w:val="000B5251"/>
    <w:rsid w:val="000C3F4D"/>
    <w:rsid w:val="000C7393"/>
    <w:rsid w:val="000C7F74"/>
    <w:rsid w:val="000F19C8"/>
    <w:rsid w:val="000F686D"/>
    <w:rsid w:val="00100F4C"/>
    <w:rsid w:val="00115283"/>
    <w:rsid w:val="00115C84"/>
    <w:rsid w:val="00134F4E"/>
    <w:rsid w:val="0015092D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2552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A406C"/>
    <w:rsid w:val="005B3B5A"/>
    <w:rsid w:val="005C224E"/>
    <w:rsid w:val="005D7276"/>
    <w:rsid w:val="005E40C3"/>
    <w:rsid w:val="005E6EB7"/>
    <w:rsid w:val="005E70DE"/>
    <w:rsid w:val="005F15BE"/>
    <w:rsid w:val="006034F0"/>
    <w:rsid w:val="00623CC1"/>
    <w:rsid w:val="00635BD9"/>
    <w:rsid w:val="00655401"/>
    <w:rsid w:val="00675698"/>
    <w:rsid w:val="00675AEE"/>
    <w:rsid w:val="00675D64"/>
    <w:rsid w:val="00686E3B"/>
    <w:rsid w:val="00687412"/>
    <w:rsid w:val="00687F69"/>
    <w:rsid w:val="006915FE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43289"/>
    <w:rsid w:val="007534EC"/>
    <w:rsid w:val="00755C68"/>
    <w:rsid w:val="00761E30"/>
    <w:rsid w:val="00775E5D"/>
    <w:rsid w:val="00782D1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A12DF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C6B20"/>
    <w:rsid w:val="00B04DE3"/>
    <w:rsid w:val="00B22F75"/>
    <w:rsid w:val="00B27C3C"/>
    <w:rsid w:val="00B27FB9"/>
    <w:rsid w:val="00B61083"/>
    <w:rsid w:val="00B81152"/>
    <w:rsid w:val="00B930CB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5ABB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956E-B435-4A66-9BF2-51A3D435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2017-09-20T11:36:00Z</cp:lastPrinted>
  <dcterms:created xsi:type="dcterms:W3CDTF">2017-09-20T11:34:00Z</dcterms:created>
  <dcterms:modified xsi:type="dcterms:W3CDTF">2017-10-11T08:09:00Z</dcterms:modified>
</cp:coreProperties>
</file>