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174FA">
        <w:rPr>
          <w:rFonts w:ascii="Calibri" w:hAnsi="Calibri" w:cs="Calibri"/>
          <w:b/>
          <w:sz w:val="40"/>
          <w:szCs w:val="40"/>
        </w:rPr>
        <w:t>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124D0B" w:rsidRDefault="00124D0B" w:rsidP="0096271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Niezbędnik nauczyciela z  metodami twórczego rozwiązywania problemów i ich praktycznego zastosowanie na lekcjach. </w:t>
      </w:r>
    </w:p>
    <w:p w:rsidR="003A2B26" w:rsidRPr="00CE0798" w:rsidRDefault="00124D0B" w:rsidP="0096271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proofErr w:type="spellStart"/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Circept</w:t>
      </w:r>
      <w:proofErr w:type="spellEnd"/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, piramida skojarzeń, metoda odwróceń –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</w:t>
      </w:r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kolejny warsztat z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</w:t>
      </w:r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cyklu NNN (Nowocze</w:t>
      </w:r>
      <w:r w:rsidR="002210E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s</w:t>
      </w:r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na Narzędziownia Nauczyciela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)</w:t>
      </w:r>
      <w:r w:rsidRPr="00124D0B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.</w:t>
      </w:r>
    </w:p>
    <w:p w:rsidR="00222B4E" w:rsidRDefault="00222B4E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Default="0096271C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96271C">
        <w:rPr>
          <w:rFonts w:asciiTheme="minorHAnsi" w:hAnsiTheme="minorHAnsi" w:cs="Calibri"/>
          <w:b/>
          <w:color w:val="C00000"/>
          <w:u w:val="single"/>
        </w:rPr>
        <w:t>KOD:</w:t>
      </w:r>
      <w:r w:rsidR="000A2E0E" w:rsidRPr="003F69F7">
        <w:rPr>
          <w:rFonts w:asciiTheme="minorHAnsi" w:hAnsiTheme="minorHAnsi" w:cs="Calibri"/>
          <w:b/>
        </w:rPr>
        <w:t xml:space="preserve"> W</w:t>
      </w:r>
      <w:r w:rsidR="003F69F7" w:rsidRPr="003F69F7">
        <w:rPr>
          <w:rFonts w:asciiTheme="minorHAnsi" w:hAnsiTheme="minorHAnsi" w:cs="Calibri"/>
          <w:b/>
        </w:rPr>
        <w:t>157</w:t>
      </w:r>
    </w:p>
    <w:p w:rsidR="0096271C" w:rsidRPr="003F197B" w:rsidRDefault="0096271C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nauczyciele </w:t>
      </w:r>
      <w:r w:rsidR="00124D0B">
        <w:rPr>
          <w:rFonts w:asciiTheme="minorHAnsi" w:hAnsiTheme="minorHAnsi" w:cs="Calibri"/>
          <w:b/>
        </w:rPr>
        <w:t>wszystkich poziomów edukacyjnych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3F69F7" w:rsidRPr="003F69F7">
        <w:rPr>
          <w:rFonts w:ascii="Calibri" w:eastAsia="Calibri" w:hAnsi="Calibri"/>
          <w:color w:val="000000"/>
        </w:rPr>
        <w:t>TRP –Twórcze metody  i techniki  heurystyczne rozwiązywania problemów</w:t>
      </w:r>
      <w:r w:rsidR="000A2E0E" w:rsidRPr="000A2E0E">
        <w:rPr>
          <w:rFonts w:ascii="Calibri" w:eastAsia="Calibri" w:hAnsi="Calibri"/>
          <w:color w:val="000000"/>
        </w:rPr>
        <w:t>.</w:t>
      </w:r>
    </w:p>
    <w:p w:rsidR="000D4A4A" w:rsidRPr="0051457C" w:rsidRDefault="000D4A4A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32482" w:rsidRPr="000A2E0E" w:rsidRDefault="005D1AB0" w:rsidP="00124D0B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3F69F7">
        <w:rPr>
          <w:rFonts w:asciiTheme="minorHAnsi" w:hAnsiTheme="minorHAnsi"/>
        </w:rPr>
        <w:t xml:space="preserve">Co to jest problem? </w:t>
      </w:r>
      <w:r w:rsidR="00124D0B"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124D0B" w:rsidRPr="00124D0B">
        <w:rPr>
          <w:rFonts w:asciiTheme="minorHAnsi" w:hAnsiTheme="minorHAnsi"/>
        </w:rPr>
        <w:t>Indywidualne i zespołowe podejś</w:t>
      </w:r>
      <w:r w:rsidR="003F69F7">
        <w:rPr>
          <w:rFonts w:asciiTheme="minorHAnsi" w:hAnsiTheme="minorHAnsi"/>
        </w:rPr>
        <w:t xml:space="preserve">cia do rozwiązywania problemów </w:t>
      </w:r>
      <w:r w:rsidR="00124D0B"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124D0B" w:rsidRPr="00124D0B">
        <w:rPr>
          <w:rFonts w:asciiTheme="minorHAnsi" w:hAnsiTheme="minorHAnsi"/>
        </w:rPr>
        <w:t>Zasady twór</w:t>
      </w:r>
      <w:r w:rsidR="003F69F7">
        <w:rPr>
          <w:rFonts w:asciiTheme="minorHAnsi" w:hAnsiTheme="minorHAnsi"/>
        </w:rPr>
        <w:t xml:space="preserve">czego rozwiązywania problemów  </w:t>
      </w:r>
      <w:r w:rsidR="00124D0B"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124D0B" w:rsidRPr="00124D0B">
        <w:rPr>
          <w:rFonts w:asciiTheme="minorHAnsi" w:hAnsiTheme="minorHAnsi"/>
        </w:rPr>
        <w:t>Etapy tw</w:t>
      </w:r>
      <w:r w:rsidR="003F69F7">
        <w:rPr>
          <w:rFonts w:asciiTheme="minorHAnsi" w:hAnsiTheme="minorHAnsi"/>
        </w:rPr>
        <w:t xml:space="preserve">órczego rozwiązywania problemów  </w:t>
      </w:r>
      <w:r w:rsidR="00124D0B"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124D0B" w:rsidRPr="00124D0B">
        <w:rPr>
          <w:rFonts w:asciiTheme="minorHAnsi" w:hAnsiTheme="minorHAnsi"/>
        </w:rPr>
        <w:t>Bariery tw</w:t>
      </w:r>
      <w:r w:rsidR="003F69F7">
        <w:rPr>
          <w:rFonts w:asciiTheme="minorHAnsi" w:hAnsiTheme="minorHAnsi"/>
        </w:rPr>
        <w:t xml:space="preserve">órczego rozwiązywania problemów  </w:t>
      </w:r>
      <w:r w:rsidR="00124D0B"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124D0B" w:rsidRPr="00124D0B">
        <w:rPr>
          <w:rFonts w:asciiTheme="minorHAnsi" w:hAnsiTheme="minorHAnsi"/>
        </w:rPr>
        <w:t xml:space="preserve">Przegląd </w:t>
      </w:r>
      <w:r w:rsidR="007C27A5">
        <w:rPr>
          <w:rFonts w:asciiTheme="minorHAnsi" w:hAnsiTheme="minorHAnsi"/>
        </w:rPr>
        <w:t xml:space="preserve">metod </w:t>
      </w:r>
      <w:r w:rsidR="00124D0B">
        <w:rPr>
          <w:rFonts w:asciiTheme="minorHAnsi" w:hAnsiTheme="minorHAnsi"/>
        </w:rPr>
        <w:t xml:space="preserve">znanych i nieznanych: </w:t>
      </w:r>
      <w:r w:rsidR="003F69F7">
        <w:rPr>
          <w:rFonts w:asciiTheme="minorHAnsi" w:hAnsiTheme="minorHAnsi"/>
        </w:rPr>
        <w:t>„</w:t>
      </w:r>
      <w:proofErr w:type="spellStart"/>
      <w:r w:rsidR="003F69F7">
        <w:rPr>
          <w:rFonts w:asciiTheme="minorHAnsi" w:hAnsiTheme="minorHAnsi"/>
        </w:rPr>
        <w:t>Circept</w:t>
      </w:r>
      <w:proofErr w:type="spellEnd"/>
      <w:r w:rsidR="003F69F7">
        <w:rPr>
          <w:rFonts w:asciiTheme="minorHAnsi" w:hAnsiTheme="minorHAnsi"/>
        </w:rPr>
        <w:t>”</w:t>
      </w:r>
      <w:r w:rsidR="00124D0B">
        <w:rPr>
          <w:rFonts w:asciiTheme="minorHAnsi" w:hAnsiTheme="minorHAnsi"/>
        </w:rPr>
        <w:t xml:space="preserve">, </w:t>
      </w:r>
      <w:r w:rsidR="003F69F7">
        <w:rPr>
          <w:rFonts w:asciiTheme="minorHAnsi" w:hAnsiTheme="minorHAnsi"/>
        </w:rPr>
        <w:t>„</w:t>
      </w:r>
      <w:r w:rsidR="00124D0B">
        <w:rPr>
          <w:rFonts w:asciiTheme="minorHAnsi" w:hAnsiTheme="minorHAnsi"/>
        </w:rPr>
        <w:t>Gra ze słowami</w:t>
      </w:r>
      <w:r w:rsidR="003F69F7">
        <w:rPr>
          <w:rFonts w:asciiTheme="minorHAnsi" w:hAnsiTheme="minorHAnsi"/>
        </w:rPr>
        <w:t>”</w:t>
      </w:r>
      <w:r w:rsidR="00124D0B">
        <w:rPr>
          <w:rFonts w:asciiTheme="minorHAnsi" w:hAnsiTheme="minorHAnsi"/>
        </w:rPr>
        <w:t xml:space="preserve">, odmiany </w:t>
      </w:r>
      <w:r w:rsidR="007C27A5">
        <w:rPr>
          <w:rFonts w:asciiTheme="minorHAnsi" w:hAnsiTheme="minorHAnsi"/>
        </w:rPr>
        <w:t>„</w:t>
      </w:r>
      <w:proofErr w:type="spellStart"/>
      <w:r w:rsidR="00124D0B">
        <w:rPr>
          <w:rFonts w:asciiTheme="minorHAnsi" w:hAnsiTheme="minorHAnsi"/>
        </w:rPr>
        <w:t>Mind</w:t>
      </w:r>
      <w:proofErr w:type="spellEnd"/>
      <w:r w:rsidR="00124D0B">
        <w:rPr>
          <w:rFonts w:asciiTheme="minorHAnsi" w:hAnsiTheme="minorHAnsi"/>
        </w:rPr>
        <w:t xml:space="preserve"> </w:t>
      </w:r>
      <w:proofErr w:type="spellStart"/>
      <w:r w:rsidR="00124D0B">
        <w:rPr>
          <w:rFonts w:asciiTheme="minorHAnsi" w:hAnsiTheme="minorHAnsi"/>
        </w:rPr>
        <w:t>Mappingu</w:t>
      </w:r>
      <w:proofErr w:type="spellEnd"/>
      <w:r w:rsidR="007C27A5">
        <w:rPr>
          <w:rFonts w:asciiTheme="minorHAnsi" w:hAnsiTheme="minorHAnsi"/>
        </w:rPr>
        <w:t>”</w:t>
      </w:r>
      <w:r w:rsidR="00124D0B">
        <w:rPr>
          <w:rFonts w:asciiTheme="minorHAnsi" w:hAnsiTheme="minorHAnsi"/>
        </w:rPr>
        <w:t xml:space="preserve">, </w:t>
      </w:r>
      <w:proofErr w:type="spellStart"/>
      <w:r w:rsidR="00124D0B" w:rsidRPr="00124D0B">
        <w:rPr>
          <w:rFonts w:asciiTheme="minorHAnsi" w:hAnsiTheme="minorHAnsi"/>
        </w:rPr>
        <w:t>Osborne</w:t>
      </w:r>
      <w:proofErr w:type="spellEnd"/>
      <w:r w:rsidR="00124D0B" w:rsidRPr="00124D0B">
        <w:rPr>
          <w:rFonts w:asciiTheme="minorHAnsi" w:hAnsiTheme="minorHAnsi"/>
        </w:rPr>
        <w:t xml:space="preserve"> i  </w:t>
      </w:r>
      <w:r w:rsidR="00124D0B">
        <w:rPr>
          <w:rFonts w:asciiTheme="minorHAnsi" w:hAnsiTheme="minorHAnsi"/>
        </w:rPr>
        <w:t xml:space="preserve">klasyczne zasady </w:t>
      </w:r>
      <w:r w:rsidR="007C27A5">
        <w:rPr>
          <w:rFonts w:asciiTheme="minorHAnsi" w:hAnsiTheme="minorHAnsi"/>
        </w:rPr>
        <w:t>„</w:t>
      </w:r>
      <w:r w:rsidR="00124D0B">
        <w:rPr>
          <w:rFonts w:asciiTheme="minorHAnsi" w:hAnsiTheme="minorHAnsi"/>
        </w:rPr>
        <w:t>burzy mózgów</w:t>
      </w:r>
      <w:r w:rsidR="007C27A5">
        <w:rPr>
          <w:rFonts w:asciiTheme="minorHAnsi" w:hAnsiTheme="minorHAnsi"/>
        </w:rPr>
        <w:t>”</w:t>
      </w:r>
      <w:r w:rsidR="00124D0B">
        <w:rPr>
          <w:rFonts w:asciiTheme="minorHAnsi" w:hAnsiTheme="minorHAnsi"/>
        </w:rPr>
        <w:t xml:space="preserve">, </w:t>
      </w:r>
      <w:r w:rsidR="007C27A5">
        <w:rPr>
          <w:rFonts w:asciiTheme="minorHAnsi" w:hAnsiTheme="minorHAnsi"/>
        </w:rPr>
        <w:t>„</w:t>
      </w:r>
      <w:proofErr w:type="spellStart"/>
      <w:r w:rsidR="00124D0B" w:rsidRPr="00124D0B">
        <w:rPr>
          <w:rFonts w:asciiTheme="minorHAnsi" w:hAnsiTheme="minorHAnsi"/>
        </w:rPr>
        <w:t>trigger</w:t>
      </w:r>
      <w:proofErr w:type="spellEnd"/>
      <w:r w:rsidR="00124D0B" w:rsidRPr="00124D0B">
        <w:rPr>
          <w:rFonts w:asciiTheme="minorHAnsi" w:hAnsiTheme="minorHAnsi"/>
        </w:rPr>
        <w:t xml:space="preserve"> metod</w:t>
      </w:r>
      <w:r w:rsidR="007C27A5">
        <w:rPr>
          <w:rFonts w:asciiTheme="minorHAnsi" w:hAnsiTheme="minorHAnsi"/>
        </w:rPr>
        <w:t>”</w:t>
      </w:r>
      <w:r w:rsidR="00124D0B" w:rsidRPr="00124D0B">
        <w:rPr>
          <w:rFonts w:asciiTheme="minorHAnsi" w:hAnsiTheme="minorHAnsi"/>
        </w:rPr>
        <w:t>- metoda s</w:t>
      </w:r>
      <w:r w:rsidR="00124D0B">
        <w:rPr>
          <w:rFonts w:asciiTheme="minorHAnsi" w:hAnsiTheme="minorHAnsi"/>
        </w:rPr>
        <w:t xml:space="preserve">ukcesywnego łączenia pomysłów, </w:t>
      </w:r>
      <w:r w:rsidR="00124D0B" w:rsidRPr="00124D0B">
        <w:rPr>
          <w:rFonts w:asciiTheme="minorHAnsi" w:hAnsiTheme="minorHAnsi"/>
        </w:rPr>
        <w:t xml:space="preserve">metoda </w:t>
      </w:r>
      <w:r w:rsidR="007C27A5">
        <w:rPr>
          <w:rFonts w:asciiTheme="minorHAnsi" w:hAnsiTheme="minorHAnsi"/>
        </w:rPr>
        <w:t>najbardziej szalonych pomysłów (</w:t>
      </w:r>
      <w:r w:rsidR="00124D0B" w:rsidRPr="00124D0B">
        <w:rPr>
          <w:rFonts w:asciiTheme="minorHAnsi" w:hAnsiTheme="minorHAnsi"/>
        </w:rPr>
        <w:t>Philips 623, Meta Plan, dyskusj</w:t>
      </w:r>
      <w:r w:rsidR="00124D0B">
        <w:rPr>
          <w:rFonts w:asciiTheme="minorHAnsi" w:hAnsiTheme="minorHAnsi"/>
        </w:rPr>
        <w:t xml:space="preserve">a 66 ), </w:t>
      </w:r>
      <w:r w:rsidR="00124D0B" w:rsidRPr="00124D0B">
        <w:rPr>
          <w:rFonts w:asciiTheme="minorHAnsi" w:hAnsiTheme="minorHAnsi"/>
        </w:rPr>
        <w:t>metoda krusz</w:t>
      </w:r>
      <w:r w:rsidR="00226BDC">
        <w:rPr>
          <w:rFonts w:asciiTheme="minorHAnsi" w:hAnsiTheme="minorHAnsi"/>
        </w:rPr>
        <w:t xml:space="preserve">enia  obiektu, technika Gordona, </w:t>
      </w:r>
      <w:r w:rsidR="003F69F7">
        <w:rPr>
          <w:rFonts w:asciiTheme="minorHAnsi" w:hAnsiTheme="minorHAnsi"/>
        </w:rPr>
        <w:t>a</w:t>
      </w:r>
      <w:r w:rsidR="00124D0B" w:rsidRPr="00124D0B">
        <w:rPr>
          <w:rFonts w:asciiTheme="minorHAnsi" w:hAnsiTheme="minorHAnsi"/>
        </w:rPr>
        <w:t>naliza morfologiczna</w:t>
      </w:r>
      <w:r w:rsidR="003F69F7">
        <w:rPr>
          <w:rFonts w:asciiTheme="minorHAnsi" w:hAnsiTheme="minorHAnsi"/>
        </w:rPr>
        <w:t>, s</w:t>
      </w:r>
      <w:r w:rsidR="00124D0B" w:rsidRPr="00124D0B">
        <w:rPr>
          <w:rFonts w:asciiTheme="minorHAnsi" w:hAnsiTheme="minorHAnsi"/>
        </w:rPr>
        <w:t>ześ</w:t>
      </w:r>
      <w:r w:rsidR="003F69F7">
        <w:rPr>
          <w:rFonts w:asciiTheme="minorHAnsi" w:hAnsiTheme="minorHAnsi"/>
        </w:rPr>
        <w:t xml:space="preserve">ć myślowych kapeluszy de BONO, karuzela pomysłów, </w:t>
      </w:r>
      <w:r w:rsidR="00124D0B" w:rsidRPr="00124D0B">
        <w:rPr>
          <w:rFonts w:asciiTheme="minorHAnsi" w:hAnsiTheme="minorHAnsi"/>
        </w:rPr>
        <w:t>Jak jest? Jak być powinno?</w:t>
      </w:r>
    </w:p>
    <w:p w:rsidR="000A2E0E" w:rsidRDefault="000A2E0E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6271C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174FA">
        <w:rPr>
          <w:rFonts w:asciiTheme="minorHAnsi" w:hAnsiTheme="minorHAnsi" w:cs="Calibri"/>
          <w:b/>
        </w:rPr>
        <w:t>1</w:t>
      </w:r>
      <w:r w:rsidR="00124D0B">
        <w:rPr>
          <w:rFonts w:asciiTheme="minorHAnsi" w:hAnsiTheme="minorHAnsi" w:cs="Calibri"/>
          <w:b/>
        </w:rPr>
        <w:t>5</w:t>
      </w:r>
      <w:r w:rsidR="00B174FA">
        <w:rPr>
          <w:rFonts w:asciiTheme="minorHAnsi" w:hAnsiTheme="minorHAnsi" w:cs="Calibri"/>
          <w:b/>
        </w:rPr>
        <w:t xml:space="preserve"> maja</w:t>
      </w:r>
      <w:r w:rsidR="00914BF5">
        <w:rPr>
          <w:rFonts w:asciiTheme="minorHAnsi" w:hAnsiTheme="minorHAnsi" w:cs="Calibri"/>
          <w:b/>
        </w:rPr>
        <w:t xml:space="preserve"> 2018</w:t>
      </w:r>
      <w:r w:rsidRPr="009E1F89">
        <w:rPr>
          <w:rFonts w:asciiTheme="minorHAnsi" w:hAnsiTheme="minorHAnsi" w:cs="Calibri"/>
          <w:b/>
        </w:rPr>
        <w:t xml:space="preserve"> r. </w:t>
      </w:r>
      <w:r>
        <w:rPr>
          <w:rFonts w:asciiTheme="minorHAnsi" w:hAnsiTheme="minorHAnsi" w:cs="Calibri"/>
          <w:b/>
        </w:rPr>
        <w:t xml:space="preserve">     godz. </w:t>
      </w:r>
      <w:r w:rsidR="00124D0B">
        <w:rPr>
          <w:rFonts w:asciiTheme="minorHAnsi" w:hAnsiTheme="minorHAnsi" w:cs="Calibri"/>
          <w:b/>
        </w:rPr>
        <w:t>15.30</w:t>
      </w:r>
      <w:r w:rsidR="0093686A">
        <w:rPr>
          <w:rFonts w:asciiTheme="minorHAnsi" w:hAnsiTheme="minorHAnsi" w:cs="Calibri"/>
          <w:b/>
        </w:rPr>
        <w:t xml:space="preserve">  </w:t>
      </w:r>
      <w:r w:rsidR="0096271C">
        <w:rPr>
          <w:rFonts w:asciiTheme="minorHAnsi" w:hAnsiTheme="minorHAnsi" w:cs="Calibri"/>
          <w:b/>
        </w:rPr>
        <w:t xml:space="preserve">                                       </w:t>
      </w:r>
    </w:p>
    <w:p w:rsidR="00914BF5" w:rsidRPr="008E2707" w:rsidRDefault="00914BF5" w:rsidP="001B1B4F">
      <w:pPr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532482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174FA">
        <w:rPr>
          <w:rStyle w:val="Pogrubienie"/>
          <w:b w:val="0"/>
          <w:szCs w:val="20"/>
        </w:rPr>
        <w:t>4</w:t>
      </w:r>
      <w:r w:rsidR="0096271C" w:rsidRPr="0096271C">
        <w:rPr>
          <w:rStyle w:val="Pogrubienie"/>
          <w:b w:val="0"/>
          <w:szCs w:val="20"/>
        </w:rPr>
        <w:t xml:space="preserve"> godzin</w:t>
      </w:r>
      <w:r w:rsidR="00B174FA">
        <w:rPr>
          <w:rStyle w:val="Pogrubienie"/>
          <w:b w:val="0"/>
          <w:szCs w:val="20"/>
        </w:rPr>
        <w:t>y</w:t>
      </w:r>
      <w:r w:rsidR="0096271C" w:rsidRPr="0096271C">
        <w:rPr>
          <w:rStyle w:val="Pogrubienie"/>
          <w:b w:val="0"/>
          <w:szCs w:val="20"/>
        </w:rPr>
        <w:t xml:space="preserve"> dydaktyczn</w:t>
      </w:r>
      <w:r w:rsidR="00B174FA">
        <w:rPr>
          <w:rStyle w:val="Pogrubienie"/>
          <w:b w:val="0"/>
          <w:szCs w:val="20"/>
        </w:rPr>
        <w:t xml:space="preserve">e </w:t>
      </w:r>
    </w:p>
    <w:p w:rsidR="00B174FA" w:rsidRPr="00B174FA" w:rsidRDefault="00B174FA" w:rsidP="001B1B4F">
      <w:pPr>
        <w:rPr>
          <w:rStyle w:val="Pogrubienie"/>
          <w:b w:val="0"/>
          <w:sz w:val="12"/>
          <w:szCs w:val="12"/>
        </w:rPr>
      </w:pPr>
    </w:p>
    <w:p w:rsidR="00124D0B" w:rsidRPr="00551D6B" w:rsidRDefault="00291D43" w:rsidP="00124D0B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124D0B" w:rsidRPr="00551D6B">
        <w:rPr>
          <w:rFonts w:ascii="Calibri" w:hAnsi="Calibri" w:cs="Calibri"/>
          <w:b/>
        </w:rPr>
        <w:t xml:space="preserve">Mirosława Berezowska </w:t>
      </w:r>
      <w:r w:rsidR="00124D0B">
        <w:rPr>
          <w:rFonts w:ascii="Calibri" w:hAnsi="Calibri" w:cs="Calibri"/>
          <w:b/>
        </w:rPr>
        <w:t>–</w:t>
      </w:r>
      <w:r w:rsidR="00124D0B" w:rsidRPr="00551D6B">
        <w:rPr>
          <w:rFonts w:ascii="Calibri" w:hAnsi="Calibri" w:cs="Calibri"/>
          <w:b/>
        </w:rPr>
        <w:t xml:space="preserve"> </w:t>
      </w:r>
      <w:r w:rsidR="00124D0B" w:rsidRPr="00551D6B">
        <w:rPr>
          <w:rFonts w:ascii="Calibri" w:hAnsi="Calibri" w:cs="Calibri"/>
        </w:rPr>
        <w:t>konsultant</w:t>
      </w:r>
      <w:r w:rsidR="00124D0B">
        <w:rPr>
          <w:rFonts w:ascii="Calibri" w:hAnsi="Calibri" w:cs="Calibri"/>
        </w:rPr>
        <w:t xml:space="preserve"> </w:t>
      </w:r>
      <w:proofErr w:type="spellStart"/>
      <w:r w:rsidR="00124D0B">
        <w:rPr>
          <w:rFonts w:ascii="Calibri" w:hAnsi="Calibri" w:cs="Calibri"/>
        </w:rPr>
        <w:t>PCEiK</w:t>
      </w:r>
      <w:proofErr w:type="spellEnd"/>
      <w:r w:rsidR="00124D0B">
        <w:rPr>
          <w:rFonts w:ascii="Calibri" w:hAnsi="Calibri" w:cs="Calibri"/>
        </w:rPr>
        <w:t xml:space="preserve"> ds. edukacji polonistycznej</w:t>
      </w:r>
      <w:r w:rsidR="00124D0B" w:rsidRPr="00551D6B">
        <w:rPr>
          <w:rFonts w:ascii="Calibri" w:hAnsi="Calibri" w:cs="Calibri"/>
        </w:rPr>
        <w:t>, nauczyciel</w:t>
      </w:r>
      <w:r w:rsidR="00124D0B">
        <w:rPr>
          <w:rFonts w:ascii="Calibri" w:hAnsi="Calibri" w:cs="Calibri"/>
        </w:rPr>
        <w:t xml:space="preserve">, </w:t>
      </w:r>
      <w:r w:rsidR="00124D0B" w:rsidRPr="00551D6B">
        <w:rPr>
          <w:rFonts w:ascii="Calibri" w:hAnsi="Calibri" w:cs="Calibri"/>
        </w:rPr>
        <w:t>edukator MEN, trener w projektach edukacyjnych MEN, ORE, ROE</w:t>
      </w:r>
      <w:r w:rsidR="00124D0B">
        <w:rPr>
          <w:rFonts w:ascii="Calibri" w:hAnsi="Calibri" w:cs="Calibri"/>
        </w:rPr>
        <w:t>.</w:t>
      </w:r>
    </w:p>
    <w:p w:rsidR="00532482" w:rsidRDefault="00532482" w:rsidP="00037025">
      <w:pPr>
        <w:jc w:val="both"/>
        <w:rPr>
          <w:sz w:val="22"/>
          <w:szCs w:val="18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F69F7">
        <w:rPr>
          <w:rFonts w:ascii="Calibri" w:hAnsi="Calibri" w:cs="Calibri"/>
          <w:b/>
          <w:bCs/>
          <w:color w:val="C00000"/>
        </w:rPr>
        <w:t>11</w:t>
      </w:r>
      <w:r w:rsidR="00B174FA">
        <w:rPr>
          <w:rFonts w:ascii="Calibri" w:hAnsi="Calibri" w:cs="Calibri"/>
          <w:b/>
          <w:bCs/>
          <w:color w:val="C00000"/>
        </w:rPr>
        <w:t>.05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222B4E" w:rsidRDefault="00222B4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B174FA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B174FA">
        <w:rPr>
          <w:rFonts w:ascii="Calibri" w:hAnsi="Calibri" w:cs="Calibri"/>
          <w:b/>
        </w:rPr>
        <w:t>bezpłatnie</w:t>
      </w:r>
    </w:p>
    <w:p w:rsidR="003F69F7" w:rsidRDefault="003F69F7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3F69F7" w:rsidRPr="003F69F7" w:rsidRDefault="003F69F7" w:rsidP="003F69F7">
      <w:pPr>
        <w:ind w:left="360" w:hanging="360"/>
        <w:jc w:val="right"/>
        <w:rPr>
          <w:rFonts w:ascii="Calibri" w:hAnsi="Calibri" w:cs="Calibri"/>
          <w:i/>
        </w:rPr>
      </w:pPr>
      <w:r w:rsidRPr="003F69F7">
        <w:rPr>
          <w:rFonts w:ascii="Calibri" w:hAnsi="Calibri" w:cs="Calibri"/>
          <w:i/>
        </w:rPr>
        <w:t>verte</w:t>
      </w:r>
    </w:p>
    <w:p w:rsidR="009D5B13" w:rsidRDefault="00037025" w:rsidP="003F69F7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lastRenderedPageBreak/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B174FA">
        <w:rPr>
          <w:rFonts w:ascii="Calibri" w:hAnsi="Calibri" w:cs="Calibri"/>
        </w:rPr>
        <w:t>,</w:t>
      </w:r>
      <w:r w:rsidRPr="00037025">
        <w:rPr>
          <w:rFonts w:ascii="Calibri" w:hAnsi="Calibri" w:cs="Calibri"/>
        </w:rPr>
        <w:t xml:space="preserve"> </w:t>
      </w:r>
      <w:r w:rsidR="00B174FA" w:rsidRPr="00B174FA">
        <w:rPr>
          <w:rFonts w:ascii="Calibri" w:hAnsi="Calibri" w:cs="Calibri"/>
        </w:rPr>
        <w:t>nauczyciele z placówek niepublicznych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532482">
        <w:rPr>
          <w:rFonts w:ascii="Calibri" w:hAnsi="Calibri" w:cs="Calibri"/>
          <w:b/>
        </w:rPr>
        <w:t>00</w:t>
      </w:r>
      <w:r w:rsidRPr="00F206BF">
        <w:rPr>
          <w:rFonts w:ascii="Calibri" w:hAnsi="Calibri" w:cs="Calibri"/>
          <w:b/>
        </w:rPr>
        <w:t xml:space="preserve"> zł</w:t>
      </w:r>
    </w:p>
    <w:p w:rsidR="003F69F7" w:rsidRPr="003F69F7" w:rsidRDefault="003F69F7" w:rsidP="003F69F7">
      <w:pPr>
        <w:spacing w:after="240"/>
        <w:ind w:left="360" w:hanging="360"/>
        <w:jc w:val="both"/>
        <w:rPr>
          <w:rFonts w:ascii="Calibri" w:hAnsi="Calibri" w:cs="Calibri"/>
          <w:b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A67DD4" w:rsidRDefault="00A67DD4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  <w:bookmarkStart w:id="13" w:name="_GoBack"/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F9" w:rsidRDefault="00CC79F9" w:rsidP="0074050A">
      <w:r>
        <w:separator/>
      </w:r>
    </w:p>
  </w:endnote>
  <w:endnote w:type="continuationSeparator" w:id="0">
    <w:p w:rsidR="00CC79F9" w:rsidRDefault="00CC79F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F9" w:rsidRDefault="00CC79F9" w:rsidP="0074050A">
      <w:r>
        <w:separator/>
      </w:r>
    </w:p>
  </w:footnote>
  <w:footnote w:type="continuationSeparator" w:id="0">
    <w:p w:rsidR="00CC79F9" w:rsidRDefault="00CC79F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E0E"/>
    <w:rsid w:val="000A3E89"/>
    <w:rsid w:val="000A772C"/>
    <w:rsid w:val="000B5012"/>
    <w:rsid w:val="000C3F4D"/>
    <w:rsid w:val="000C7393"/>
    <w:rsid w:val="000C7F74"/>
    <w:rsid w:val="000D4A4A"/>
    <w:rsid w:val="000F19C8"/>
    <w:rsid w:val="000F686D"/>
    <w:rsid w:val="00111CC1"/>
    <w:rsid w:val="00115283"/>
    <w:rsid w:val="00115C84"/>
    <w:rsid w:val="00124D0B"/>
    <w:rsid w:val="00134F4E"/>
    <w:rsid w:val="0016582B"/>
    <w:rsid w:val="00175E5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0EB"/>
    <w:rsid w:val="0022115B"/>
    <w:rsid w:val="00222B4E"/>
    <w:rsid w:val="00226BDC"/>
    <w:rsid w:val="00250958"/>
    <w:rsid w:val="00262667"/>
    <w:rsid w:val="00282E69"/>
    <w:rsid w:val="00291D43"/>
    <w:rsid w:val="002A597D"/>
    <w:rsid w:val="002B24E3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1372"/>
    <w:rsid w:val="00382735"/>
    <w:rsid w:val="00391B30"/>
    <w:rsid w:val="003A2B26"/>
    <w:rsid w:val="003A7B7F"/>
    <w:rsid w:val="003D01D4"/>
    <w:rsid w:val="003F197B"/>
    <w:rsid w:val="003F68B0"/>
    <w:rsid w:val="003F69F7"/>
    <w:rsid w:val="00401768"/>
    <w:rsid w:val="00413ADE"/>
    <w:rsid w:val="004561F6"/>
    <w:rsid w:val="00472988"/>
    <w:rsid w:val="00492A72"/>
    <w:rsid w:val="00496642"/>
    <w:rsid w:val="004A5C9D"/>
    <w:rsid w:val="004A6BF2"/>
    <w:rsid w:val="004A726F"/>
    <w:rsid w:val="004C6E77"/>
    <w:rsid w:val="004F2080"/>
    <w:rsid w:val="0050135B"/>
    <w:rsid w:val="0051457C"/>
    <w:rsid w:val="00522534"/>
    <w:rsid w:val="00532482"/>
    <w:rsid w:val="00533A39"/>
    <w:rsid w:val="00540D4C"/>
    <w:rsid w:val="00553A8D"/>
    <w:rsid w:val="00562B15"/>
    <w:rsid w:val="005810FC"/>
    <w:rsid w:val="00584DF3"/>
    <w:rsid w:val="005A29CF"/>
    <w:rsid w:val="005B3B5A"/>
    <w:rsid w:val="005C224E"/>
    <w:rsid w:val="005C58C9"/>
    <w:rsid w:val="005D1AB0"/>
    <w:rsid w:val="005D7276"/>
    <w:rsid w:val="005E40C3"/>
    <w:rsid w:val="005E6EB7"/>
    <w:rsid w:val="005E70DE"/>
    <w:rsid w:val="005F15BE"/>
    <w:rsid w:val="006034F0"/>
    <w:rsid w:val="00635BD9"/>
    <w:rsid w:val="00646861"/>
    <w:rsid w:val="00657922"/>
    <w:rsid w:val="00675698"/>
    <w:rsid w:val="00675AEE"/>
    <w:rsid w:val="00675D64"/>
    <w:rsid w:val="00675DA2"/>
    <w:rsid w:val="006863B8"/>
    <w:rsid w:val="00687412"/>
    <w:rsid w:val="006A69D6"/>
    <w:rsid w:val="006B32B4"/>
    <w:rsid w:val="006B4A7B"/>
    <w:rsid w:val="006C024D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27A5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2707"/>
    <w:rsid w:val="008E4247"/>
    <w:rsid w:val="008F1EEA"/>
    <w:rsid w:val="008F2942"/>
    <w:rsid w:val="00903B85"/>
    <w:rsid w:val="00914BF5"/>
    <w:rsid w:val="0091591D"/>
    <w:rsid w:val="009273AC"/>
    <w:rsid w:val="0093686A"/>
    <w:rsid w:val="00960766"/>
    <w:rsid w:val="00961E0D"/>
    <w:rsid w:val="0096271C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1A96"/>
    <w:rsid w:val="00A5285C"/>
    <w:rsid w:val="00A67DD4"/>
    <w:rsid w:val="00A72ADC"/>
    <w:rsid w:val="00A77652"/>
    <w:rsid w:val="00A803DB"/>
    <w:rsid w:val="00AA264D"/>
    <w:rsid w:val="00AB4BDE"/>
    <w:rsid w:val="00AC5A13"/>
    <w:rsid w:val="00AC63BA"/>
    <w:rsid w:val="00B04DE3"/>
    <w:rsid w:val="00B174FA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0640"/>
    <w:rsid w:val="00C75A20"/>
    <w:rsid w:val="00C76166"/>
    <w:rsid w:val="00C85AA5"/>
    <w:rsid w:val="00C93590"/>
    <w:rsid w:val="00CA05DF"/>
    <w:rsid w:val="00CA7AAF"/>
    <w:rsid w:val="00CB18E4"/>
    <w:rsid w:val="00CC79F9"/>
    <w:rsid w:val="00CD45F2"/>
    <w:rsid w:val="00CE0798"/>
    <w:rsid w:val="00CF7D7E"/>
    <w:rsid w:val="00D11656"/>
    <w:rsid w:val="00D1461D"/>
    <w:rsid w:val="00D238B8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1944"/>
    <w:rsid w:val="00E537E1"/>
    <w:rsid w:val="00E564CA"/>
    <w:rsid w:val="00E73C43"/>
    <w:rsid w:val="00E96147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C7ED6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D840-1A47-49B8-AD36-152AB880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2018-04-17T10:57:00Z</cp:lastPrinted>
  <dcterms:created xsi:type="dcterms:W3CDTF">2018-04-17T10:57:00Z</dcterms:created>
  <dcterms:modified xsi:type="dcterms:W3CDTF">2018-05-10T06:47:00Z</dcterms:modified>
</cp:coreProperties>
</file>